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57E" w:rsidRPr="005C1D1E" w:rsidRDefault="007A057E" w:rsidP="007A057E">
      <w:pPr>
        <w:pStyle w:val="Heading1"/>
        <w:jc w:val="center"/>
        <w:rPr>
          <w:rFonts w:eastAsiaTheme="majorEastAsia"/>
          <w:sz w:val="44"/>
          <w:lang w:eastAsia="en-US"/>
        </w:rPr>
      </w:pPr>
      <w:r w:rsidRPr="005C1D1E">
        <w:rPr>
          <w:rFonts w:eastAsiaTheme="majorEastAsia"/>
          <w:sz w:val="44"/>
          <w:lang w:eastAsia="en-US"/>
        </w:rPr>
        <w:t>Child Protection Reform Amendment Act 2017</w:t>
      </w:r>
    </w:p>
    <w:p w:rsidR="007A057E" w:rsidRPr="005C1D1E" w:rsidRDefault="0046668F" w:rsidP="007A057E">
      <w:pPr>
        <w:pStyle w:val="Heading1"/>
        <w:jc w:val="center"/>
        <w:rPr>
          <w:rFonts w:eastAsiaTheme="majorEastAsia"/>
          <w:sz w:val="44"/>
          <w:lang w:eastAsia="en-US"/>
        </w:rPr>
      </w:pPr>
      <w:r>
        <w:rPr>
          <w:rFonts w:eastAsiaTheme="majorEastAsia"/>
          <w:sz w:val="44"/>
          <w:lang w:eastAsia="en-US"/>
        </w:rPr>
        <w:t xml:space="preserve">July </w:t>
      </w:r>
      <w:r w:rsidR="007A057E" w:rsidRPr="005C1D1E">
        <w:rPr>
          <w:rFonts w:eastAsiaTheme="majorEastAsia"/>
          <w:sz w:val="44"/>
          <w:lang w:eastAsia="en-US"/>
        </w:rPr>
        <w:t>Amendments</w:t>
      </w:r>
    </w:p>
    <w:p w:rsidR="007A057E" w:rsidRDefault="007A057E" w:rsidP="007A057E">
      <w:pPr>
        <w:spacing w:after="0"/>
        <w:rPr>
          <w:rFonts w:eastAsiaTheme="minorHAnsi" w:cstheme="minorBidi"/>
          <w:b/>
          <w:szCs w:val="22"/>
          <w:lang w:eastAsia="en-US"/>
        </w:rPr>
      </w:pPr>
    </w:p>
    <w:p w:rsidR="007A057E" w:rsidRPr="007A057E" w:rsidRDefault="007A057E" w:rsidP="007A057E">
      <w:pPr>
        <w:spacing w:after="0" w:line="276" w:lineRule="auto"/>
        <w:rPr>
          <w:rFonts w:eastAsiaTheme="minorHAnsi" w:cstheme="minorBidi"/>
          <w:b/>
          <w:szCs w:val="22"/>
          <w:lang w:eastAsia="en-US"/>
        </w:rPr>
      </w:pPr>
    </w:p>
    <w:p w:rsidR="00E31386" w:rsidRPr="007A057E" w:rsidRDefault="00E31386" w:rsidP="00E31386">
      <w:pPr>
        <w:pStyle w:val="NoSpacing"/>
        <w:spacing w:line="276" w:lineRule="auto"/>
        <w:rPr>
          <w:rFonts w:eastAsiaTheme="minorHAnsi"/>
          <w:b/>
          <w:lang w:eastAsia="en-US"/>
        </w:rPr>
      </w:pPr>
      <w:r w:rsidRPr="007A057E">
        <w:rPr>
          <w:rFonts w:eastAsiaTheme="minorHAnsi"/>
          <w:b/>
          <w:lang w:eastAsia="en-US"/>
        </w:rPr>
        <w:t>Vaccinations – clause 47</w:t>
      </w:r>
    </w:p>
    <w:p w:rsidR="00E31386" w:rsidRPr="007A057E" w:rsidRDefault="00E31386" w:rsidP="00E31386">
      <w:pPr>
        <w:pStyle w:val="NoSpacing"/>
        <w:spacing w:line="276" w:lineRule="auto"/>
        <w:rPr>
          <w:rFonts w:eastAsiaTheme="minorHAnsi"/>
          <w:lang w:eastAsia="en-US"/>
        </w:rPr>
      </w:pPr>
      <w:r w:rsidRPr="007A057E">
        <w:rPr>
          <w:rFonts w:eastAsiaTheme="minorHAnsi"/>
          <w:lang w:eastAsia="en-US"/>
        </w:rPr>
        <w:t xml:space="preserve">The Amendment Act includes vaccinations as a medical treatment under the existing provisions of the Child Protection Act. This enables medical practitioners to treat a child who is in the chief executive’s custody without the consent of the child’s parents where it is reasonable to do so. The health professional will be required to give a report on the treatment. </w:t>
      </w:r>
    </w:p>
    <w:p w:rsidR="00E31386" w:rsidRPr="007A057E" w:rsidRDefault="00E31386" w:rsidP="00E31386">
      <w:pPr>
        <w:pStyle w:val="NoSpacing"/>
        <w:spacing w:line="276" w:lineRule="auto"/>
        <w:rPr>
          <w:rFonts w:eastAsiaTheme="minorHAnsi"/>
          <w:lang w:eastAsia="en-US"/>
        </w:rPr>
      </w:pPr>
    </w:p>
    <w:p w:rsidR="00E31386" w:rsidRDefault="00E31386" w:rsidP="00E31386">
      <w:pPr>
        <w:pStyle w:val="NoSpacing"/>
        <w:spacing w:line="276" w:lineRule="auto"/>
        <w:rPr>
          <w:rFonts w:eastAsiaTheme="minorHAnsi"/>
          <w:lang w:eastAsia="en-US"/>
        </w:rPr>
      </w:pPr>
      <w:r w:rsidRPr="007A057E">
        <w:rPr>
          <w:rFonts w:eastAsiaTheme="minorHAnsi"/>
          <w:lang w:eastAsia="en-US"/>
        </w:rPr>
        <w:t xml:space="preserve">Departmental policy will continue to require staff to take reasonable steps to seek parents’ views around vaccination where they retain guardianship, but would enable the vaccination of a child without parental consent where treatment has been requested by the chief executive. This is particularly important for emergency situations such as a child’s exposure to a viral illness or an accident </w:t>
      </w:r>
      <w:r>
        <w:rPr>
          <w:rFonts w:eastAsiaTheme="minorHAnsi"/>
          <w:lang w:eastAsia="en-US"/>
        </w:rPr>
        <w:t>requiring a tetanus vaccination.</w:t>
      </w:r>
    </w:p>
    <w:p w:rsidR="00E31386" w:rsidRDefault="00E31386" w:rsidP="007A057E">
      <w:pPr>
        <w:spacing w:after="0" w:line="276" w:lineRule="auto"/>
        <w:rPr>
          <w:rFonts w:eastAsiaTheme="minorHAnsi" w:cstheme="minorBidi"/>
          <w:b/>
          <w:szCs w:val="22"/>
          <w:lang w:eastAsia="en-US"/>
        </w:rPr>
      </w:pPr>
    </w:p>
    <w:p w:rsidR="00E31386" w:rsidRDefault="00E31386" w:rsidP="007A057E">
      <w:pPr>
        <w:spacing w:after="0" w:line="276" w:lineRule="auto"/>
        <w:rPr>
          <w:rFonts w:eastAsiaTheme="minorHAnsi" w:cstheme="minorBidi"/>
          <w:b/>
          <w:szCs w:val="22"/>
          <w:lang w:eastAsia="en-US"/>
        </w:rPr>
      </w:pPr>
    </w:p>
    <w:p w:rsidR="00E31386" w:rsidRPr="007A057E" w:rsidRDefault="00E31386" w:rsidP="00E31386">
      <w:pPr>
        <w:spacing w:after="0" w:line="276" w:lineRule="auto"/>
        <w:rPr>
          <w:rFonts w:eastAsiaTheme="minorHAnsi" w:cstheme="minorBidi"/>
          <w:szCs w:val="22"/>
          <w:lang w:eastAsia="en-US"/>
        </w:rPr>
      </w:pPr>
      <w:r w:rsidRPr="007A057E">
        <w:rPr>
          <w:rFonts w:eastAsiaTheme="minorHAnsi" w:cstheme="minorBidi"/>
          <w:b/>
          <w:szCs w:val="22"/>
          <w:lang w:eastAsia="en-US"/>
        </w:rPr>
        <w:t>Intervention with Parental Agreement (IPA) – clauses 28 and 29</w:t>
      </w:r>
    </w:p>
    <w:p w:rsidR="00E31386" w:rsidRPr="007A057E" w:rsidRDefault="00E31386" w:rsidP="00E31386">
      <w:pPr>
        <w:spacing w:after="0" w:line="276" w:lineRule="auto"/>
        <w:rPr>
          <w:rFonts w:eastAsiaTheme="minorHAnsi" w:cstheme="minorBidi"/>
          <w:szCs w:val="22"/>
          <w:lang w:eastAsia="en-US"/>
        </w:rPr>
      </w:pPr>
      <w:r w:rsidRPr="007A057E">
        <w:rPr>
          <w:rFonts w:eastAsiaTheme="minorHAnsi" w:cstheme="minorBidi"/>
          <w:szCs w:val="22"/>
          <w:lang w:eastAsia="en-US"/>
        </w:rPr>
        <w:t xml:space="preserve">The Amendment Act clarifies the department is not required to consider an IPA if it is reasonably believed the child would be at immediate risk of harm if the parents withdraw their agreement to the intervention. </w:t>
      </w:r>
    </w:p>
    <w:p w:rsidR="00E31386" w:rsidRDefault="00E31386" w:rsidP="00E31386">
      <w:pPr>
        <w:spacing w:after="0" w:line="276" w:lineRule="auto"/>
        <w:rPr>
          <w:rFonts w:eastAsiaTheme="minorHAnsi" w:cstheme="minorBidi"/>
          <w:szCs w:val="22"/>
          <w:lang w:eastAsia="en-US"/>
        </w:rPr>
      </w:pPr>
      <w:r w:rsidRPr="007A057E">
        <w:rPr>
          <w:rFonts w:eastAsiaTheme="minorHAnsi" w:cstheme="minorBidi"/>
          <w:szCs w:val="22"/>
          <w:lang w:eastAsia="en-US"/>
        </w:rPr>
        <w:t>For those children and young people who are subject to an IPA, the department must detail in the case plan what is expected of both their parents and the department to achieve the goals of the intervention.</w:t>
      </w:r>
    </w:p>
    <w:p w:rsidR="00E31386" w:rsidRDefault="00E31386" w:rsidP="007A057E">
      <w:pPr>
        <w:spacing w:after="0" w:line="276" w:lineRule="auto"/>
        <w:rPr>
          <w:rFonts w:eastAsiaTheme="minorHAnsi" w:cstheme="minorBidi"/>
          <w:b/>
          <w:szCs w:val="22"/>
          <w:lang w:eastAsia="en-US"/>
        </w:rPr>
      </w:pPr>
    </w:p>
    <w:p w:rsidR="00E31386" w:rsidRDefault="00E31386" w:rsidP="007A057E">
      <w:pPr>
        <w:spacing w:after="0" w:line="276" w:lineRule="auto"/>
        <w:rPr>
          <w:rFonts w:eastAsiaTheme="minorHAnsi" w:cstheme="minorBidi"/>
          <w:b/>
          <w:szCs w:val="22"/>
          <w:lang w:eastAsia="en-US"/>
        </w:rPr>
      </w:pPr>
    </w:p>
    <w:p w:rsidR="007A057E" w:rsidRPr="007A057E" w:rsidRDefault="007A057E" w:rsidP="007A057E">
      <w:pPr>
        <w:spacing w:after="0" w:line="276" w:lineRule="auto"/>
        <w:rPr>
          <w:rFonts w:eastAsiaTheme="minorHAnsi" w:cstheme="minorBidi"/>
          <w:b/>
          <w:szCs w:val="22"/>
          <w:lang w:eastAsia="en-US"/>
        </w:rPr>
      </w:pPr>
      <w:r w:rsidRPr="007A057E">
        <w:rPr>
          <w:rFonts w:eastAsiaTheme="minorHAnsi" w:cstheme="minorBidi"/>
          <w:b/>
          <w:szCs w:val="22"/>
          <w:lang w:eastAsia="en-US"/>
        </w:rPr>
        <w:t>Temporary Custody Orders – clauses 15 and 16</w:t>
      </w:r>
    </w:p>
    <w:p w:rsidR="007A057E" w:rsidRPr="007A057E" w:rsidRDefault="007A057E" w:rsidP="007A057E">
      <w:pPr>
        <w:spacing w:after="0" w:line="276" w:lineRule="auto"/>
        <w:rPr>
          <w:rFonts w:eastAsiaTheme="minorHAnsi" w:cstheme="minorBidi"/>
          <w:szCs w:val="22"/>
          <w:lang w:eastAsia="en-US"/>
        </w:rPr>
      </w:pPr>
      <w:r w:rsidRPr="007A057E">
        <w:rPr>
          <w:rFonts w:eastAsiaTheme="minorHAnsi" w:cstheme="minorBidi"/>
          <w:szCs w:val="22"/>
          <w:lang w:eastAsia="en-US"/>
        </w:rPr>
        <w:t xml:space="preserve">The Amendment Act confirms a temporary custody order can be applied for to provide for the immediate safety of a child, while the Director of Child Protection Litigation considers whether or not they will apply for an order. </w:t>
      </w:r>
    </w:p>
    <w:p w:rsidR="007A057E" w:rsidRPr="007A057E" w:rsidRDefault="007A057E" w:rsidP="007A057E">
      <w:pPr>
        <w:spacing w:after="0" w:line="276" w:lineRule="auto"/>
        <w:rPr>
          <w:rFonts w:eastAsiaTheme="minorHAnsi" w:cstheme="minorBidi"/>
          <w:szCs w:val="22"/>
          <w:lang w:eastAsia="en-US"/>
        </w:rPr>
      </w:pPr>
    </w:p>
    <w:p w:rsidR="007A057E" w:rsidRDefault="007A057E" w:rsidP="007A057E">
      <w:pPr>
        <w:spacing w:after="0" w:line="276" w:lineRule="auto"/>
        <w:rPr>
          <w:rFonts w:eastAsiaTheme="minorHAnsi" w:cstheme="minorBidi"/>
          <w:szCs w:val="22"/>
          <w:lang w:eastAsia="en-US"/>
        </w:rPr>
      </w:pPr>
      <w:r w:rsidRPr="007A057E">
        <w:rPr>
          <w:rFonts w:eastAsiaTheme="minorHAnsi" w:cstheme="minorBidi"/>
          <w:szCs w:val="22"/>
          <w:lang w:eastAsia="en-US"/>
        </w:rPr>
        <w:t>A magistrate can only make a temporary custody order if they are satisfied that, within the period of the order, the department or the Director of Child Protection Litigation will be able to decide the most appropriate action to meet the child’s ongoing protection and care needs.</w:t>
      </w:r>
    </w:p>
    <w:p w:rsidR="007A057E" w:rsidRDefault="007A057E" w:rsidP="007A057E">
      <w:pPr>
        <w:spacing w:after="0" w:line="276" w:lineRule="auto"/>
        <w:rPr>
          <w:rFonts w:eastAsiaTheme="minorHAnsi" w:cstheme="minorBidi"/>
          <w:szCs w:val="22"/>
          <w:lang w:eastAsia="en-US"/>
        </w:rPr>
      </w:pPr>
    </w:p>
    <w:p w:rsidR="007A057E" w:rsidRDefault="007A057E" w:rsidP="007A057E">
      <w:pPr>
        <w:spacing w:after="0" w:line="276" w:lineRule="auto"/>
        <w:rPr>
          <w:rFonts w:eastAsiaTheme="minorHAnsi" w:cstheme="minorBidi"/>
          <w:szCs w:val="22"/>
          <w:lang w:eastAsia="en-US"/>
        </w:rPr>
      </w:pPr>
    </w:p>
    <w:p w:rsidR="007A057E" w:rsidRPr="007A057E" w:rsidRDefault="007A057E" w:rsidP="007A057E">
      <w:pPr>
        <w:spacing w:after="0" w:line="276" w:lineRule="auto"/>
        <w:rPr>
          <w:rFonts w:eastAsiaTheme="minorHAnsi" w:cstheme="minorBidi"/>
          <w:szCs w:val="22"/>
          <w:lang w:eastAsia="en-US"/>
        </w:rPr>
      </w:pPr>
      <w:r w:rsidRPr="007A057E">
        <w:rPr>
          <w:rFonts w:eastAsiaTheme="minorHAnsi" w:cstheme="minorBidi"/>
          <w:b/>
          <w:szCs w:val="22"/>
          <w:lang w:eastAsia="en-US"/>
        </w:rPr>
        <w:t>Research – clause 73</w:t>
      </w:r>
    </w:p>
    <w:p w:rsidR="007A057E" w:rsidRDefault="007A057E" w:rsidP="007A057E">
      <w:pPr>
        <w:spacing w:after="0" w:line="276" w:lineRule="auto"/>
        <w:rPr>
          <w:rFonts w:eastAsiaTheme="minorHAnsi" w:cstheme="minorBidi"/>
          <w:szCs w:val="22"/>
          <w:lang w:eastAsia="en-US"/>
        </w:rPr>
      </w:pPr>
      <w:r w:rsidRPr="007A057E">
        <w:rPr>
          <w:rFonts w:eastAsiaTheme="minorHAnsi" w:cstheme="minorBidi"/>
          <w:szCs w:val="22"/>
          <w:lang w:eastAsia="en-US"/>
        </w:rPr>
        <w:t xml:space="preserve">The Amendment Act enables the chief executive to authorise access to information that could identify a person, as long as the chief executive is satisfied it is reasonably necessary for the research and the information will not be published in a way that could result in identification. This will mean the department will be able to participate in a greater range of research and analytic projects. </w:t>
      </w:r>
    </w:p>
    <w:p w:rsidR="007A057E" w:rsidRPr="007A057E" w:rsidRDefault="007A057E" w:rsidP="007A057E">
      <w:pPr>
        <w:pStyle w:val="NoSpacing"/>
        <w:spacing w:line="276" w:lineRule="auto"/>
        <w:rPr>
          <w:rFonts w:eastAsiaTheme="minorHAnsi"/>
          <w:b/>
          <w:lang w:eastAsia="en-US"/>
        </w:rPr>
      </w:pPr>
      <w:bookmarkStart w:id="0" w:name="_GoBack"/>
      <w:bookmarkEnd w:id="0"/>
      <w:r w:rsidRPr="007A057E">
        <w:rPr>
          <w:rFonts w:eastAsiaTheme="minorHAnsi"/>
          <w:b/>
          <w:lang w:eastAsia="en-US"/>
        </w:rPr>
        <w:lastRenderedPageBreak/>
        <w:t>Publishing of information regarding child witnesses – clause 74</w:t>
      </w:r>
    </w:p>
    <w:p w:rsidR="007A057E" w:rsidRDefault="007A057E" w:rsidP="007A057E">
      <w:pPr>
        <w:pStyle w:val="NoSpacing"/>
        <w:spacing w:line="276" w:lineRule="auto"/>
        <w:rPr>
          <w:rFonts w:eastAsiaTheme="minorHAnsi"/>
          <w:lang w:eastAsia="en-US"/>
        </w:rPr>
      </w:pPr>
      <w:r w:rsidRPr="007A057E">
        <w:rPr>
          <w:rFonts w:eastAsiaTheme="minorHAnsi"/>
          <w:lang w:eastAsia="en-US"/>
        </w:rPr>
        <w:t>The Amendment Act extends the prohibition against publishing identifying information about a child or young person who is reasonably likely to be a witness in criminal proceeding related to an office of a sexual or violent nature, and makes it clear the protections apply to all proceedings in the criminal prosecution process (such as extradition, bail and</w:t>
      </w:r>
      <w:r>
        <w:rPr>
          <w:rFonts w:eastAsiaTheme="minorHAnsi"/>
          <w:lang w:eastAsia="en-US"/>
        </w:rPr>
        <w:t xml:space="preserve"> committal proceedings).</w:t>
      </w:r>
    </w:p>
    <w:p w:rsidR="007A057E" w:rsidRPr="007A057E" w:rsidRDefault="007A057E" w:rsidP="007A057E">
      <w:pPr>
        <w:pStyle w:val="NoSpacing"/>
        <w:spacing w:line="276" w:lineRule="auto"/>
        <w:rPr>
          <w:rFonts w:eastAsiaTheme="minorHAnsi"/>
          <w:lang w:eastAsia="en-US"/>
        </w:rPr>
      </w:pPr>
    </w:p>
    <w:p w:rsidR="007A057E" w:rsidRPr="007A057E" w:rsidRDefault="007A057E" w:rsidP="007A057E">
      <w:pPr>
        <w:spacing w:after="0" w:line="276" w:lineRule="auto"/>
        <w:rPr>
          <w:rFonts w:eastAsiaTheme="minorHAnsi" w:cstheme="minorBidi"/>
          <w:szCs w:val="22"/>
          <w:lang w:eastAsia="en-US"/>
        </w:rPr>
      </w:pPr>
      <w:r w:rsidRPr="007A057E">
        <w:rPr>
          <w:rFonts w:eastAsiaTheme="minorHAnsi" w:cstheme="minorBidi"/>
          <w:szCs w:val="22"/>
          <w:lang w:eastAsia="en-US"/>
        </w:rPr>
        <w:t>The Amendment Act also makes it clear that identifying information about police or departmental officers may not be published in relation to offences of a sexual nature where a child or young person may be a witness.</w:t>
      </w:r>
    </w:p>
    <w:p w:rsidR="007A057E" w:rsidRDefault="007A057E" w:rsidP="007A057E">
      <w:pPr>
        <w:spacing w:after="0" w:line="276" w:lineRule="auto"/>
        <w:rPr>
          <w:rFonts w:eastAsiaTheme="minorHAnsi" w:cstheme="minorBidi"/>
          <w:szCs w:val="22"/>
          <w:lang w:eastAsia="en-US"/>
        </w:rPr>
      </w:pPr>
    </w:p>
    <w:p w:rsidR="007A057E" w:rsidRPr="007A057E" w:rsidRDefault="007A057E" w:rsidP="007A057E">
      <w:pPr>
        <w:spacing w:after="0" w:line="276" w:lineRule="auto"/>
        <w:rPr>
          <w:rFonts w:eastAsiaTheme="minorHAnsi" w:cstheme="minorBidi"/>
          <w:szCs w:val="22"/>
          <w:lang w:eastAsia="en-US"/>
        </w:rPr>
      </w:pPr>
    </w:p>
    <w:p w:rsidR="007A057E" w:rsidRPr="007A057E" w:rsidRDefault="007A057E" w:rsidP="007A057E">
      <w:pPr>
        <w:spacing w:after="0" w:line="276" w:lineRule="auto"/>
        <w:rPr>
          <w:rFonts w:eastAsiaTheme="minorHAnsi" w:cstheme="minorBidi"/>
          <w:b/>
          <w:szCs w:val="22"/>
          <w:lang w:eastAsia="en-US"/>
        </w:rPr>
      </w:pPr>
      <w:r w:rsidRPr="007A057E">
        <w:rPr>
          <w:rFonts w:eastAsiaTheme="minorHAnsi" w:cstheme="minorBidi"/>
          <w:b/>
          <w:szCs w:val="22"/>
          <w:lang w:eastAsia="en-US"/>
        </w:rPr>
        <w:t>Use of information by the Queensland Police Service – clause 75</w:t>
      </w:r>
    </w:p>
    <w:p w:rsidR="00043DAD" w:rsidRPr="007A057E" w:rsidRDefault="007A057E" w:rsidP="007A057E">
      <w:pPr>
        <w:spacing w:after="0" w:line="276" w:lineRule="auto"/>
        <w:rPr>
          <w:rFonts w:eastAsiaTheme="minorHAnsi" w:cstheme="minorBidi"/>
          <w:szCs w:val="22"/>
          <w:lang w:eastAsia="en-US"/>
        </w:rPr>
      </w:pPr>
      <w:r>
        <w:rPr>
          <w:rFonts w:ascii="Times New Roman" w:hAnsi="Times New Roman"/>
          <w:noProof/>
        </w:rPr>
        <mc:AlternateContent>
          <mc:Choice Requires="wps">
            <w:drawing>
              <wp:anchor distT="0" distB="0" distL="114300" distR="114300" simplePos="0" relativeHeight="251659776" behindDoc="1" locked="0" layoutInCell="1" allowOverlap="1">
                <wp:simplePos x="0" y="0"/>
                <wp:positionH relativeFrom="margin">
                  <wp:align>center</wp:align>
                </wp:positionH>
                <wp:positionV relativeFrom="paragraph">
                  <wp:posOffset>5664498</wp:posOffset>
                </wp:positionV>
                <wp:extent cx="5021921" cy="39433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1921"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3196" w:rsidRPr="0075391E" w:rsidRDefault="00F73196" w:rsidP="00F73196">
                            <w:pPr>
                              <w:jc w:val="center"/>
                              <w:rPr>
                                <w:rFonts w:ascii="MetaNormal-Italic" w:hAnsi="MetaNormal-Italic"/>
                                <w:sz w:val="20"/>
                              </w:rPr>
                            </w:pPr>
                            <w:r w:rsidRPr="0075391E">
                              <w:rPr>
                                <w:rFonts w:ascii="MetaNormal-Italic" w:hAnsi="MetaNormal-Italic" w:cs="Calibri"/>
                                <w:sz w:val="20"/>
                                <w:szCs w:val="22"/>
                              </w:rPr>
                              <w:t xml:space="preserve">For further information, please call (07) 3238 7689 or email </w:t>
                            </w:r>
                            <w:hyperlink r:id="rId7" w:history="1">
                              <w:r w:rsidRPr="0075391E">
                                <w:rPr>
                                  <w:rStyle w:val="Hyperlink"/>
                                  <w:rFonts w:ascii="MetaNormal-Italic" w:hAnsi="MetaNormal-Italic" w:cs="Calibri"/>
                                  <w:sz w:val="20"/>
                                  <w:szCs w:val="22"/>
                                </w:rPr>
                                <w:t>CPAreform@csyw.qld.gov.au</w:t>
                              </w:r>
                            </w:hyperlink>
                            <w:r w:rsidRPr="0075391E">
                              <w:rPr>
                                <w:rFonts w:ascii="MetaNormal-Italic" w:hAnsi="MetaNormal-Italic" w:cs="Calibri"/>
                                <w:sz w:val="20"/>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46pt;width:395.45pt;height:31.0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uzKpwIAAKI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" filled="f" stroked="f" strokeweight=".5pt">
                <v:path arrowok="t"/>
                <v:textbox>
                  <w:txbxContent>
                    <w:p w:rsidR="00F73196" w:rsidRPr="0075391E" w:rsidRDefault="00F73196" w:rsidP="00F73196">
                      <w:pPr>
                        <w:jc w:val="center"/>
                        <w:rPr>
                          <w:rFonts w:ascii="MetaNormal-Italic" w:hAnsi="MetaNormal-Italic"/>
                          <w:sz w:val="20"/>
                        </w:rPr>
                      </w:pPr>
                      <w:r w:rsidRPr="0075391E">
                        <w:rPr>
                          <w:rFonts w:ascii="MetaNormal-Italic" w:hAnsi="MetaNormal-Italic" w:cs="Calibri"/>
                          <w:sz w:val="20"/>
                          <w:szCs w:val="22"/>
                        </w:rPr>
                        <w:t xml:space="preserve">For further information, please call (07) 3238 7689 or email </w:t>
                      </w:r>
                      <w:hyperlink r:id="rId8" w:history="1">
                        <w:r w:rsidRPr="0075391E">
                          <w:rPr>
                            <w:rStyle w:val="Hyperlink"/>
                            <w:rFonts w:ascii="MetaNormal-Italic" w:hAnsi="MetaNormal-Italic" w:cs="Calibri"/>
                            <w:sz w:val="20"/>
                            <w:szCs w:val="22"/>
                          </w:rPr>
                          <w:t>CPAreform@csyw.qld.gov.au</w:t>
                        </w:r>
                      </w:hyperlink>
                      <w:r w:rsidRPr="0075391E">
                        <w:rPr>
                          <w:rFonts w:ascii="MetaNormal-Italic" w:hAnsi="MetaNormal-Italic" w:cs="Calibri"/>
                          <w:sz w:val="20"/>
                          <w:szCs w:val="22"/>
                        </w:rPr>
                        <w:t>.</w:t>
                      </w:r>
                    </w:p>
                  </w:txbxContent>
                </v:textbox>
                <w10:wrap anchorx="margin"/>
              </v:shape>
            </w:pict>
          </mc:Fallback>
        </mc:AlternateContent>
      </w:r>
      <w:r w:rsidRPr="007A057E">
        <w:rPr>
          <w:rFonts w:eastAsiaTheme="minorHAnsi" w:cstheme="minorBidi"/>
          <w:szCs w:val="22"/>
          <w:lang w:eastAsia="en-US"/>
        </w:rPr>
        <w:t>The Amendment Act provides clarification that the Queensland Police Service can use information they have obtained in their duties to issue a child abduction or amber alert when a child or young person in care is missing, without seeking approval from the department, provided that information does not identify the child or young person as being in care.</w:t>
      </w:r>
    </w:p>
    <w:sectPr w:rsidR="00043DAD" w:rsidRPr="007A057E" w:rsidSect="0079670D">
      <w:headerReference w:type="default" r:id="rId9"/>
      <w:footerReference w:type="default" r:id="rId10"/>
      <w:type w:val="continuous"/>
      <w:pgSz w:w="11906" w:h="16838"/>
      <w:pgMar w:top="2552" w:right="1134" w:bottom="1701" w:left="1134" w:header="709" w:footer="0"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D2D" w:rsidRDefault="00E42D2D">
      <w:r>
        <w:separator/>
      </w:r>
    </w:p>
  </w:endnote>
  <w:endnote w:type="continuationSeparator" w:id="0">
    <w:p w:rsidR="00E42D2D" w:rsidRDefault="00E4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Roman">
    <w:panose1 w:val="020B0502030101020104"/>
    <w:charset w:val="00"/>
    <w:family w:val="swiss"/>
    <w:pitch w:val="variable"/>
    <w:sig w:usb0="80000027" w:usb1="00000000" w:usb2="00000000" w:usb3="00000000" w:csb0="00000001" w:csb1="00000000"/>
  </w:font>
  <w:font w:name="MetaBold-Roman">
    <w:panose1 w:val="020B0802030000020004"/>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Normal-Italic">
    <w:panose1 w:val="020B0502030000090004"/>
    <w:charset w:val="00"/>
    <w:family w:val="swiss"/>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21F" w:rsidRPr="00E6521F" w:rsidRDefault="00E6521F">
    <w:pPr>
      <w:pStyle w:val="Footer"/>
      <w:jc w:val="center"/>
      <w:rPr>
        <w:rFonts w:cs="Calibri"/>
      </w:rPr>
    </w:pPr>
    <w:r w:rsidRPr="00E6521F">
      <w:rPr>
        <w:rFonts w:cs="Calibri"/>
      </w:rPr>
      <w:fldChar w:fldCharType="begin"/>
    </w:r>
    <w:r w:rsidRPr="00E6521F">
      <w:rPr>
        <w:rFonts w:cs="Calibri"/>
      </w:rPr>
      <w:instrText xml:space="preserve"> PAGE   \* MERGEFORMAT </w:instrText>
    </w:r>
    <w:r w:rsidRPr="00E6521F">
      <w:rPr>
        <w:rFonts w:cs="Calibri"/>
      </w:rPr>
      <w:fldChar w:fldCharType="separate"/>
    </w:r>
    <w:r w:rsidR="00E31386">
      <w:rPr>
        <w:rFonts w:cs="Calibri"/>
        <w:noProof/>
      </w:rPr>
      <w:t>2</w:t>
    </w:r>
    <w:r w:rsidRPr="00E6521F">
      <w:rPr>
        <w:rFonts w:cs="Calibri"/>
        <w:noProof/>
      </w:rPr>
      <w:fldChar w:fldCharType="end"/>
    </w:r>
  </w:p>
  <w:p w:rsidR="00C83EF1" w:rsidRPr="001913DF" w:rsidRDefault="00C83EF1">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D2D" w:rsidRDefault="00E42D2D">
      <w:r>
        <w:separator/>
      </w:r>
    </w:p>
  </w:footnote>
  <w:footnote w:type="continuationSeparator" w:id="0">
    <w:p w:rsidR="00E42D2D" w:rsidRDefault="00E42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59" w:rsidRPr="00687224" w:rsidRDefault="0075391E" w:rsidP="003809D6">
    <w:pPr>
      <w:pStyle w:val="Header"/>
      <w:tabs>
        <w:tab w:val="clear" w:pos="8306"/>
      </w:tabs>
      <w:rPr>
        <w:color w:val="FFFFFF"/>
      </w:rPr>
    </w:pPr>
    <w:r>
      <w:rPr>
        <w:noProof/>
      </w:rPr>
      <mc:AlternateContent>
        <mc:Choice Requires="wps">
          <w:drawing>
            <wp:anchor distT="45720" distB="45720" distL="114300" distR="114300" simplePos="0" relativeHeight="251657728" behindDoc="1" locked="0" layoutInCell="1" allowOverlap="1">
              <wp:simplePos x="0" y="0"/>
              <wp:positionH relativeFrom="column">
                <wp:posOffset>5407338</wp:posOffset>
              </wp:positionH>
              <wp:positionV relativeFrom="paragraph">
                <wp:posOffset>646430</wp:posOffset>
              </wp:positionV>
              <wp:extent cx="1259840" cy="3073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FDA" w:rsidRPr="0075391E" w:rsidRDefault="0049720E" w:rsidP="003809D6">
                          <w:pPr>
                            <w:jc w:val="right"/>
                            <w:rPr>
                              <w:rFonts w:cs="Calibri Light"/>
                              <w:color w:val="FFFFFF"/>
                            </w:rPr>
                          </w:pPr>
                          <w:r>
                            <w:rPr>
                              <w:rFonts w:cs="Calibri Light"/>
                              <w:color w:val="FFFFFF"/>
                            </w:rPr>
                            <w:t>July</w:t>
                          </w:r>
                          <w:r w:rsidR="007D0FDA" w:rsidRPr="0075391E">
                            <w:rPr>
                              <w:rFonts w:cs="Calibri Light"/>
                              <w:color w:val="FFFFFF"/>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25.75pt;margin-top:50.9pt;width:99.2pt;height:24.2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Vz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" filled="f" stroked="f">
              <v:textbox>
                <w:txbxContent>
                  <w:p w:rsidR="007D0FDA" w:rsidRPr="0075391E" w:rsidRDefault="0049720E" w:rsidP="003809D6">
                    <w:pPr>
                      <w:jc w:val="right"/>
                      <w:rPr>
                        <w:rFonts w:cs="Calibri Light"/>
                        <w:color w:val="FFFFFF"/>
                      </w:rPr>
                    </w:pPr>
                    <w:r>
                      <w:rPr>
                        <w:rFonts w:cs="Calibri Light"/>
                        <w:color w:val="FFFFFF"/>
                      </w:rPr>
                      <w:t>July</w:t>
                    </w:r>
                    <w:r w:rsidR="007D0FDA" w:rsidRPr="0075391E">
                      <w:rPr>
                        <w:rFonts w:cs="Calibri Light"/>
                        <w:color w:val="FFFFFF"/>
                      </w:rPr>
                      <w:t xml:space="preserve"> 2018</w:t>
                    </w:r>
                  </w:p>
                </w:txbxContent>
              </v:textbox>
            </v:shape>
          </w:pict>
        </mc:Fallback>
      </mc:AlternateContent>
    </w:r>
    <w:r w:rsidR="00F73196" w:rsidRPr="00687224">
      <w:rPr>
        <w:noProof/>
        <w:color w:val="FFFFFF"/>
      </w:rPr>
      <w:drawing>
        <wp:anchor distT="0" distB="0" distL="114300" distR="114300" simplePos="0" relativeHeight="251656704" behindDoc="1" locked="1" layoutInCell="1" allowOverlap="1">
          <wp:simplePos x="0" y="0"/>
          <wp:positionH relativeFrom="page">
            <wp:align>right</wp:align>
          </wp:positionH>
          <wp:positionV relativeFrom="page">
            <wp:align>top</wp:align>
          </wp:positionV>
          <wp:extent cx="7567295" cy="10695940"/>
          <wp:effectExtent l="0" t="0" r="0" b="0"/>
          <wp:wrapNone/>
          <wp:docPr id="15" name="Picture 15" descr="0483 Stronger families generic fact 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483 Stronger families generic fact sheet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6DB" w:rsidRPr="00687224">
      <w:rPr>
        <w:color w:val="FFFFFF"/>
      </w:rPr>
      <w:t xml:space="preserve"> </w:t>
    </w:r>
    <w:r w:rsidR="009476DB" w:rsidRPr="00687224">
      <w:rPr>
        <w:color w:val="FFFFFF"/>
      </w:rPr>
      <w:tab/>
    </w:r>
    <w:r w:rsidR="009476DB" w:rsidRPr="00687224">
      <w:rPr>
        <w:color w:val="FFFFFF"/>
      </w:rPr>
      <w:tab/>
    </w:r>
    <w:r w:rsidR="009476DB" w:rsidRPr="00687224">
      <w:rPr>
        <w:color w:val="FFFFFF"/>
      </w:rPr>
      <w:tab/>
    </w:r>
    <w:r w:rsidR="009476DB" w:rsidRPr="00687224">
      <w:rPr>
        <w:color w:val="FFFFFF"/>
      </w:rPr>
      <w:tab/>
    </w:r>
    <w:r w:rsidR="009476DB" w:rsidRPr="00687224">
      <w:rPr>
        <w:color w:val="FFFFFF"/>
      </w:rPr>
      <w:tab/>
    </w:r>
    <w:r w:rsidR="009476DB" w:rsidRPr="00687224">
      <w:rPr>
        <w:color w:val="FFFFFF"/>
      </w:rPr>
      <w:tab/>
    </w:r>
    <w:r w:rsidR="009476DB" w:rsidRPr="00687224">
      <w:rPr>
        <w:color w:val="FFFFFF"/>
      </w:rPr>
      <w:tab/>
      <w:t xml:space="preserve">                             </w:t>
    </w:r>
    <w:r w:rsidR="00613C78">
      <w:rPr>
        <w:color w:val="FFFFF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3CC9"/>
    <w:multiLevelType w:val="hybridMultilevel"/>
    <w:tmpl w:val="333AA9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6A5C21"/>
    <w:multiLevelType w:val="hybridMultilevel"/>
    <w:tmpl w:val="12B4C7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10E4881"/>
    <w:multiLevelType w:val="hybridMultilevel"/>
    <w:tmpl w:val="6E7C08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9E65F4"/>
    <w:multiLevelType w:val="hybridMultilevel"/>
    <w:tmpl w:val="1FE2A8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91A1301"/>
    <w:multiLevelType w:val="hybridMultilevel"/>
    <w:tmpl w:val="75141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BC1E09"/>
    <w:multiLevelType w:val="hybridMultilevel"/>
    <w:tmpl w:val="0DA607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8580F8E"/>
    <w:multiLevelType w:val="hybridMultilevel"/>
    <w:tmpl w:val="DEE23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DF507F1"/>
    <w:multiLevelType w:val="hybridMultilevel"/>
    <w:tmpl w:val="B1A45F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F096304"/>
    <w:multiLevelType w:val="hybridMultilevel"/>
    <w:tmpl w:val="3C2245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AC328B8"/>
    <w:multiLevelType w:val="hybridMultilevel"/>
    <w:tmpl w:val="A05A25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2"/>
  </w:num>
  <w:num w:numId="6">
    <w:abstractNumId w:val="5"/>
  </w:num>
  <w:num w:numId="7">
    <w:abstractNumId w:val="7"/>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15AB1"/>
    <w:rsid w:val="00020AE5"/>
    <w:rsid w:val="0002320A"/>
    <w:rsid w:val="000253BB"/>
    <w:rsid w:val="000254AC"/>
    <w:rsid w:val="00025A5B"/>
    <w:rsid w:val="0002752A"/>
    <w:rsid w:val="000318F2"/>
    <w:rsid w:val="00031AB2"/>
    <w:rsid w:val="00031E75"/>
    <w:rsid w:val="0003274A"/>
    <w:rsid w:val="00033768"/>
    <w:rsid w:val="00035510"/>
    <w:rsid w:val="000364CB"/>
    <w:rsid w:val="00041261"/>
    <w:rsid w:val="00043DAD"/>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6B00"/>
    <w:rsid w:val="00077D38"/>
    <w:rsid w:val="000829FC"/>
    <w:rsid w:val="0008615F"/>
    <w:rsid w:val="00087D53"/>
    <w:rsid w:val="000915B0"/>
    <w:rsid w:val="00091807"/>
    <w:rsid w:val="00092B8A"/>
    <w:rsid w:val="00093226"/>
    <w:rsid w:val="000940F2"/>
    <w:rsid w:val="00095398"/>
    <w:rsid w:val="000957D1"/>
    <w:rsid w:val="000958D1"/>
    <w:rsid w:val="000A1A2A"/>
    <w:rsid w:val="000A1CD6"/>
    <w:rsid w:val="000A38B5"/>
    <w:rsid w:val="000A4A30"/>
    <w:rsid w:val="000A5574"/>
    <w:rsid w:val="000A5675"/>
    <w:rsid w:val="000A627A"/>
    <w:rsid w:val="000A6BEA"/>
    <w:rsid w:val="000A6DA1"/>
    <w:rsid w:val="000A7214"/>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1223"/>
    <w:rsid w:val="000E3449"/>
    <w:rsid w:val="000E4020"/>
    <w:rsid w:val="000E498B"/>
    <w:rsid w:val="000E69DA"/>
    <w:rsid w:val="000E6FD8"/>
    <w:rsid w:val="000E72FB"/>
    <w:rsid w:val="000F0D16"/>
    <w:rsid w:val="000F11AC"/>
    <w:rsid w:val="000F2B0E"/>
    <w:rsid w:val="000F3065"/>
    <w:rsid w:val="000F4320"/>
    <w:rsid w:val="000F5701"/>
    <w:rsid w:val="000F5DE0"/>
    <w:rsid w:val="000F6625"/>
    <w:rsid w:val="00100220"/>
    <w:rsid w:val="00102380"/>
    <w:rsid w:val="001023B6"/>
    <w:rsid w:val="00103E62"/>
    <w:rsid w:val="001041D8"/>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13DF"/>
    <w:rsid w:val="001920CF"/>
    <w:rsid w:val="00192503"/>
    <w:rsid w:val="001A1697"/>
    <w:rsid w:val="001A18B0"/>
    <w:rsid w:val="001A2237"/>
    <w:rsid w:val="001A29E7"/>
    <w:rsid w:val="001A37C0"/>
    <w:rsid w:val="001A616B"/>
    <w:rsid w:val="001A7262"/>
    <w:rsid w:val="001B0590"/>
    <w:rsid w:val="001B36FF"/>
    <w:rsid w:val="001B38C4"/>
    <w:rsid w:val="001B42DD"/>
    <w:rsid w:val="001B7FD2"/>
    <w:rsid w:val="001C0B09"/>
    <w:rsid w:val="001C213E"/>
    <w:rsid w:val="001C47C9"/>
    <w:rsid w:val="001C5775"/>
    <w:rsid w:val="001C7A7C"/>
    <w:rsid w:val="001D15F1"/>
    <w:rsid w:val="001D1D3D"/>
    <w:rsid w:val="001D234D"/>
    <w:rsid w:val="001D5559"/>
    <w:rsid w:val="001D6C24"/>
    <w:rsid w:val="001D7B03"/>
    <w:rsid w:val="001E043D"/>
    <w:rsid w:val="001E4893"/>
    <w:rsid w:val="001E4ED6"/>
    <w:rsid w:val="001E5C4C"/>
    <w:rsid w:val="001E67EB"/>
    <w:rsid w:val="001F037C"/>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24D5"/>
    <w:rsid w:val="002140B9"/>
    <w:rsid w:val="0021493B"/>
    <w:rsid w:val="002203A6"/>
    <w:rsid w:val="00226951"/>
    <w:rsid w:val="00226BFA"/>
    <w:rsid w:val="00226D91"/>
    <w:rsid w:val="00230F7C"/>
    <w:rsid w:val="002313BE"/>
    <w:rsid w:val="002314C8"/>
    <w:rsid w:val="00232FAE"/>
    <w:rsid w:val="00233842"/>
    <w:rsid w:val="00234730"/>
    <w:rsid w:val="00234764"/>
    <w:rsid w:val="00234C67"/>
    <w:rsid w:val="002358C4"/>
    <w:rsid w:val="00240804"/>
    <w:rsid w:val="00240EC4"/>
    <w:rsid w:val="00241085"/>
    <w:rsid w:val="00241526"/>
    <w:rsid w:val="00245995"/>
    <w:rsid w:val="0024689F"/>
    <w:rsid w:val="0025261A"/>
    <w:rsid w:val="0025352A"/>
    <w:rsid w:val="00254821"/>
    <w:rsid w:val="00255CB6"/>
    <w:rsid w:val="002563CA"/>
    <w:rsid w:val="002571F1"/>
    <w:rsid w:val="00257943"/>
    <w:rsid w:val="00260A6D"/>
    <w:rsid w:val="00261A32"/>
    <w:rsid w:val="00262A44"/>
    <w:rsid w:val="00262FB9"/>
    <w:rsid w:val="0026369C"/>
    <w:rsid w:val="002656D2"/>
    <w:rsid w:val="00266E9B"/>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261E"/>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5FE3"/>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3D3"/>
    <w:rsid w:val="00311541"/>
    <w:rsid w:val="00311BAB"/>
    <w:rsid w:val="00311DA3"/>
    <w:rsid w:val="0031271C"/>
    <w:rsid w:val="003138D2"/>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09D6"/>
    <w:rsid w:val="003812D6"/>
    <w:rsid w:val="00382067"/>
    <w:rsid w:val="00382412"/>
    <w:rsid w:val="00382980"/>
    <w:rsid w:val="00382DC4"/>
    <w:rsid w:val="00383517"/>
    <w:rsid w:val="0038399A"/>
    <w:rsid w:val="003839CF"/>
    <w:rsid w:val="00385392"/>
    <w:rsid w:val="00386445"/>
    <w:rsid w:val="00387977"/>
    <w:rsid w:val="00387982"/>
    <w:rsid w:val="00387E72"/>
    <w:rsid w:val="00390F37"/>
    <w:rsid w:val="00392B9F"/>
    <w:rsid w:val="00393B3D"/>
    <w:rsid w:val="00393B64"/>
    <w:rsid w:val="00394A26"/>
    <w:rsid w:val="00394CE2"/>
    <w:rsid w:val="003975E5"/>
    <w:rsid w:val="003A080A"/>
    <w:rsid w:val="003A0968"/>
    <w:rsid w:val="003A0C94"/>
    <w:rsid w:val="003A2619"/>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34F"/>
    <w:rsid w:val="003D64FB"/>
    <w:rsid w:val="003D6598"/>
    <w:rsid w:val="003D6890"/>
    <w:rsid w:val="003E0877"/>
    <w:rsid w:val="003E2518"/>
    <w:rsid w:val="003E2B0F"/>
    <w:rsid w:val="003E44B5"/>
    <w:rsid w:val="003E5710"/>
    <w:rsid w:val="003E57A0"/>
    <w:rsid w:val="003E5DB7"/>
    <w:rsid w:val="003E656D"/>
    <w:rsid w:val="003E6D97"/>
    <w:rsid w:val="003F12D9"/>
    <w:rsid w:val="003F23A0"/>
    <w:rsid w:val="003F43AA"/>
    <w:rsid w:val="003F478B"/>
    <w:rsid w:val="003F5FFA"/>
    <w:rsid w:val="003F6637"/>
    <w:rsid w:val="003F732D"/>
    <w:rsid w:val="003F7835"/>
    <w:rsid w:val="003F78B9"/>
    <w:rsid w:val="00403644"/>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5E3"/>
    <w:rsid w:val="00454795"/>
    <w:rsid w:val="00454AD2"/>
    <w:rsid w:val="00456F37"/>
    <w:rsid w:val="004573DB"/>
    <w:rsid w:val="00460670"/>
    <w:rsid w:val="00461540"/>
    <w:rsid w:val="00462DFB"/>
    <w:rsid w:val="00463665"/>
    <w:rsid w:val="00464047"/>
    <w:rsid w:val="004656A1"/>
    <w:rsid w:val="0046600D"/>
    <w:rsid w:val="00466620"/>
    <w:rsid w:val="0046668F"/>
    <w:rsid w:val="004713FE"/>
    <w:rsid w:val="004721A1"/>
    <w:rsid w:val="0047232C"/>
    <w:rsid w:val="0047419E"/>
    <w:rsid w:val="00476B61"/>
    <w:rsid w:val="00477A11"/>
    <w:rsid w:val="004802BB"/>
    <w:rsid w:val="0048169E"/>
    <w:rsid w:val="00481C76"/>
    <w:rsid w:val="00484BD9"/>
    <w:rsid w:val="00486191"/>
    <w:rsid w:val="004863D7"/>
    <w:rsid w:val="004879F9"/>
    <w:rsid w:val="00491FBA"/>
    <w:rsid w:val="00492082"/>
    <w:rsid w:val="004952AC"/>
    <w:rsid w:val="00495E9E"/>
    <w:rsid w:val="00495F66"/>
    <w:rsid w:val="0049720E"/>
    <w:rsid w:val="00497988"/>
    <w:rsid w:val="004A126A"/>
    <w:rsid w:val="004A1F0B"/>
    <w:rsid w:val="004A2D31"/>
    <w:rsid w:val="004A2F0B"/>
    <w:rsid w:val="004B017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1FC9"/>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3D"/>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5D7B"/>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97D6B"/>
    <w:rsid w:val="005A21C3"/>
    <w:rsid w:val="005A358A"/>
    <w:rsid w:val="005A4518"/>
    <w:rsid w:val="005A64D3"/>
    <w:rsid w:val="005A79A1"/>
    <w:rsid w:val="005B04B2"/>
    <w:rsid w:val="005B09E5"/>
    <w:rsid w:val="005B29F6"/>
    <w:rsid w:val="005B3392"/>
    <w:rsid w:val="005B3427"/>
    <w:rsid w:val="005B3C68"/>
    <w:rsid w:val="005B4861"/>
    <w:rsid w:val="005B4B35"/>
    <w:rsid w:val="005B4F19"/>
    <w:rsid w:val="005B5215"/>
    <w:rsid w:val="005C1D1E"/>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02A7"/>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3C78"/>
    <w:rsid w:val="00614127"/>
    <w:rsid w:val="0061496E"/>
    <w:rsid w:val="00615328"/>
    <w:rsid w:val="00621815"/>
    <w:rsid w:val="0062185B"/>
    <w:rsid w:val="0062267C"/>
    <w:rsid w:val="00623463"/>
    <w:rsid w:val="0062449B"/>
    <w:rsid w:val="006247E7"/>
    <w:rsid w:val="00624CEA"/>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1294"/>
    <w:rsid w:val="0065223E"/>
    <w:rsid w:val="00652F12"/>
    <w:rsid w:val="00654153"/>
    <w:rsid w:val="006563E8"/>
    <w:rsid w:val="0065671E"/>
    <w:rsid w:val="006609C0"/>
    <w:rsid w:val="00660F23"/>
    <w:rsid w:val="00661A6C"/>
    <w:rsid w:val="00662DB3"/>
    <w:rsid w:val="006635B8"/>
    <w:rsid w:val="00663FD5"/>
    <w:rsid w:val="00665207"/>
    <w:rsid w:val="0066689B"/>
    <w:rsid w:val="00666D90"/>
    <w:rsid w:val="0066728C"/>
    <w:rsid w:val="006678F7"/>
    <w:rsid w:val="00667F5E"/>
    <w:rsid w:val="006705CF"/>
    <w:rsid w:val="00673FDF"/>
    <w:rsid w:val="00676CAF"/>
    <w:rsid w:val="006771E9"/>
    <w:rsid w:val="0067778E"/>
    <w:rsid w:val="00680461"/>
    <w:rsid w:val="006804DF"/>
    <w:rsid w:val="006839CE"/>
    <w:rsid w:val="00684D10"/>
    <w:rsid w:val="00685DEE"/>
    <w:rsid w:val="00687024"/>
    <w:rsid w:val="00687224"/>
    <w:rsid w:val="00687A7A"/>
    <w:rsid w:val="00690AE7"/>
    <w:rsid w:val="00692A07"/>
    <w:rsid w:val="006953F5"/>
    <w:rsid w:val="00695FB4"/>
    <w:rsid w:val="00696638"/>
    <w:rsid w:val="006A06BD"/>
    <w:rsid w:val="006A1FE2"/>
    <w:rsid w:val="006A2B45"/>
    <w:rsid w:val="006A3FA7"/>
    <w:rsid w:val="006A5B16"/>
    <w:rsid w:val="006A60DB"/>
    <w:rsid w:val="006A6CB1"/>
    <w:rsid w:val="006A7C14"/>
    <w:rsid w:val="006B0DA8"/>
    <w:rsid w:val="006B1CFF"/>
    <w:rsid w:val="006B2026"/>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3E97"/>
    <w:rsid w:val="006F51AC"/>
    <w:rsid w:val="006F5D5A"/>
    <w:rsid w:val="00701A86"/>
    <w:rsid w:val="00701ED4"/>
    <w:rsid w:val="0070605F"/>
    <w:rsid w:val="00707A0B"/>
    <w:rsid w:val="00710178"/>
    <w:rsid w:val="00713427"/>
    <w:rsid w:val="00713F81"/>
    <w:rsid w:val="007152E6"/>
    <w:rsid w:val="0071602D"/>
    <w:rsid w:val="00717129"/>
    <w:rsid w:val="007177B2"/>
    <w:rsid w:val="007225BE"/>
    <w:rsid w:val="00724AF6"/>
    <w:rsid w:val="00731F8F"/>
    <w:rsid w:val="007332B1"/>
    <w:rsid w:val="00733823"/>
    <w:rsid w:val="00735225"/>
    <w:rsid w:val="00736D60"/>
    <w:rsid w:val="00742DC7"/>
    <w:rsid w:val="007430DB"/>
    <w:rsid w:val="0074685F"/>
    <w:rsid w:val="0075120E"/>
    <w:rsid w:val="007512A6"/>
    <w:rsid w:val="0075391E"/>
    <w:rsid w:val="00754EE8"/>
    <w:rsid w:val="0075588A"/>
    <w:rsid w:val="00755FCA"/>
    <w:rsid w:val="00756B74"/>
    <w:rsid w:val="00757439"/>
    <w:rsid w:val="0076206D"/>
    <w:rsid w:val="007628BE"/>
    <w:rsid w:val="00763406"/>
    <w:rsid w:val="007645C6"/>
    <w:rsid w:val="007702DC"/>
    <w:rsid w:val="007713BB"/>
    <w:rsid w:val="00771529"/>
    <w:rsid w:val="00772A28"/>
    <w:rsid w:val="007731B8"/>
    <w:rsid w:val="00774F72"/>
    <w:rsid w:val="00774FE4"/>
    <w:rsid w:val="007756E6"/>
    <w:rsid w:val="00775ADB"/>
    <w:rsid w:val="00775C08"/>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4B6"/>
    <w:rsid w:val="00795960"/>
    <w:rsid w:val="00795D10"/>
    <w:rsid w:val="0079670D"/>
    <w:rsid w:val="00796776"/>
    <w:rsid w:val="007A057E"/>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0FDA"/>
    <w:rsid w:val="007D1B6F"/>
    <w:rsid w:val="007D2D52"/>
    <w:rsid w:val="007D4440"/>
    <w:rsid w:val="007D48B8"/>
    <w:rsid w:val="007D5A9C"/>
    <w:rsid w:val="007D688E"/>
    <w:rsid w:val="007D7DC5"/>
    <w:rsid w:val="007E0409"/>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3984"/>
    <w:rsid w:val="00806966"/>
    <w:rsid w:val="00806E6A"/>
    <w:rsid w:val="00811199"/>
    <w:rsid w:val="00811DC7"/>
    <w:rsid w:val="00813F77"/>
    <w:rsid w:val="0081680D"/>
    <w:rsid w:val="008224EC"/>
    <w:rsid w:val="0082310B"/>
    <w:rsid w:val="00824263"/>
    <w:rsid w:val="00825EF8"/>
    <w:rsid w:val="00826D5F"/>
    <w:rsid w:val="00826F29"/>
    <w:rsid w:val="00827367"/>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3B22"/>
    <w:rsid w:val="00875BDF"/>
    <w:rsid w:val="008765E5"/>
    <w:rsid w:val="008771A2"/>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211D"/>
    <w:rsid w:val="008B3922"/>
    <w:rsid w:val="008B556D"/>
    <w:rsid w:val="008B6BFF"/>
    <w:rsid w:val="008C0ABC"/>
    <w:rsid w:val="008C1135"/>
    <w:rsid w:val="008C115F"/>
    <w:rsid w:val="008C3A1C"/>
    <w:rsid w:val="008C45CB"/>
    <w:rsid w:val="008C4E39"/>
    <w:rsid w:val="008C5AE1"/>
    <w:rsid w:val="008C5DD0"/>
    <w:rsid w:val="008D1FC2"/>
    <w:rsid w:val="008D3145"/>
    <w:rsid w:val="008D6362"/>
    <w:rsid w:val="008D6D98"/>
    <w:rsid w:val="008E0BD0"/>
    <w:rsid w:val="008E1B21"/>
    <w:rsid w:val="008E22AD"/>
    <w:rsid w:val="008E2EB5"/>
    <w:rsid w:val="008E3952"/>
    <w:rsid w:val="008E3CB5"/>
    <w:rsid w:val="008E4873"/>
    <w:rsid w:val="008E5613"/>
    <w:rsid w:val="008E58D4"/>
    <w:rsid w:val="008E5AB5"/>
    <w:rsid w:val="008E7819"/>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14E3"/>
    <w:rsid w:val="0093291B"/>
    <w:rsid w:val="00933BEA"/>
    <w:rsid w:val="00934BE8"/>
    <w:rsid w:val="00936009"/>
    <w:rsid w:val="0093685B"/>
    <w:rsid w:val="00936997"/>
    <w:rsid w:val="00936F38"/>
    <w:rsid w:val="00937238"/>
    <w:rsid w:val="00940655"/>
    <w:rsid w:val="009421DC"/>
    <w:rsid w:val="00943993"/>
    <w:rsid w:val="00943F7A"/>
    <w:rsid w:val="0094448C"/>
    <w:rsid w:val="009462EE"/>
    <w:rsid w:val="00946C36"/>
    <w:rsid w:val="009476DB"/>
    <w:rsid w:val="00947B77"/>
    <w:rsid w:val="00947E61"/>
    <w:rsid w:val="00951F5B"/>
    <w:rsid w:val="00954CB5"/>
    <w:rsid w:val="00955A9B"/>
    <w:rsid w:val="00960C4C"/>
    <w:rsid w:val="00961ABE"/>
    <w:rsid w:val="009621E2"/>
    <w:rsid w:val="009630C3"/>
    <w:rsid w:val="0096492F"/>
    <w:rsid w:val="00964E50"/>
    <w:rsid w:val="00966553"/>
    <w:rsid w:val="00967872"/>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5BF5"/>
    <w:rsid w:val="0098744E"/>
    <w:rsid w:val="00990206"/>
    <w:rsid w:val="00990DDA"/>
    <w:rsid w:val="00991985"/>
    <w:rsid w:val="00996DDB"/>
    <w:rsid w:val="009A0F5B"/>
    <w:rsid w:val="009A1F3A"/>
    <w:rsid w:val="009A230D"/>
    <w:rsid w:val="009A43E8"/>
    <w:rsid w:val="009A592C"/>
    <w:rsid w:val="009A62D1"/>
    <w:rsid w:val="009B305D"/>
    <w:rsid w:val="009B3376"/>
    <w:rsid w:val="009B4134"/>
    <w:rsid w:val="009B5134"/>
    <w:rsid w:val="009B5B61"/>
    <w:rsid w:val="009C0859"/>
    <w:rsid w:val="009C36F4"/>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074"/>
    <w:rsid w:val="00A51E82"/>
    <w:rsid w:val="00A5248E"/>
    <w:rsid w:val="00A539A4"/>
    <w:rsid w:val="00A55525"/>
    <w:rsid w:val="00A57CB5"/>
    <w:rsid w:val="00A61769"/>
    <w:rsid w:val="00A62E60"/>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31B"/>
    <w:rsid w:val="00A946A2"/>
    <w:rsid w:val="00A9531F"/>
    <w:rsid w:val="00A956A9"/>
    <w:rsid w:val="00AA003F"/>
    <w:rsid w:val="00AA533D"/>
    <w:rsid w:val="00AA60A2"/>
    <w:rsid w:val="00AA6799"/>
    <w:rsid w:val="00AA68D6"/>
    <w:rsid w:val="00AA7134"/>
    <w:rsid w:val="00AB0A10"/>
    <w:rsid w:val="00AB19BC"/>
    <w:rsid w:val="00AB24AA"/>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78"/>
    <w:rsid w:val="00B12288"/>
    <w:rsid w:val="00B15B48"/>
    <w:rsid w:val="00B16A63"/>
    <w:rsid w:val="00B16F38"/>
    <w:rsid w:val="00B1792D"/>
    <w:rsid w:val="00B200A8"/>
    <w:rsid w:val="00B20ABE"/>
    <w:rsid w:val="00B20E84"/>
    <w:rsid w:val="00B21459"/>
    <w:rsid w:val="00B22E58"/>
    <w:rsid w:val="00B230CA"/>
    <w:rsid w:val="00B249B9"/>
    <w:rsid w:val="00B265ED"/>
    <w:rsid w:val="00B275AC"/>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3C77"/>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1AC5"/>
    <w:rsid w:val="00BE268B"/>
    <w:rsid w:val="00BE39B7"/>
    <w:rsid w:val="00BE4867"/>
    <w:rsid w:val="00BE5274"/>
    <w:rsid w:val="00BF09FF"/>
    <w:rsid w:val="00BF29AB"/>
    <w:rsid w:val="00BF3FCC"/>
    <w:rsid w:val="00BF466D"/>
    <w:rsid w:val="00BF7EE7"/>
    <w:rsid w:val="00C0274D"/>
    <w:rsid w:val="00C02CF7"/>
    <w:rsid w:val="00C03643"/>
    <w:rsid w:val="00C048DA"/>
    <w:rsid w:val="00C049B6"/>
    <w:rsid w:val="00C04A3B"/>
    <w:rsid w:val="00C04CDF"/>
    <w:rsid w:val="00C06104"/>
    <w:rsid w:val="00C0642C"/>
    <w:rsid w:val="00C078F8"/>
    <w:rsid w:val="00C10186"/>
    <w:rsid w:val="00C12FA1"/>
    <w:rsid w:val="00C139CF"/>
    <w:rsid w:val="00C14F1E"/>
    <w:rsid w:val="00C16576"/>
    <w:rsid w:val="00C165EA"/>
    <w:rsid w:val="00C17081"/>
    <w:rsid w:val="00C17BF0"/>
    <w:rsid w:val="00C20F0C"/>
    <w:rsid w:val="00C20F8D"/>
    <w:rsid w:val="00C24C1D"/>
    <w:rsid w:val="00C25738"/>
    <w:rsid w:val="00C25974"/>
    <w:rsid w:val="00C26C63"/>
    <w:rsid w:val="00C30B97"/>
    <w:rsid w:val="00C31981"/>
    <w:rsid w:val="00C31F16"/>
    <w:rsid w:val="00C33A80"/>
    <w:rsid w:val="00C3510D"/>
    <w:rsid w:val="00C364AB"/>
    <w:rsid w:val="00C37636"/>
    <w:rsid w:val="00C37C1B"/>
    <w:rsid w:val="00C37D63"/>
    <w:rsid w:val="00C4086D"/>
    <w:rsid w:val="00C41084"/>
    <w:rsid w:val="00C428D2"/>
    <w:rsid w:val="00C43AD6"/>
    <w:rsid w:val="00C45747"/>
    <w:rsid w:val="00C50497"/>
    <w:rsid w:val="00C52D87"/>
    <w:rsid w:val="00C52DBF"/>
    <w:rsid w:val="00C55D2C"/>
    <w:rsid w:val="00C56738"/>
    <w:rsid w:val="00C56961"/>
    <w:rsid w:val="00C61B08"/>
    <w:rsid w:val="00C622C3"/>
    <w:rsid w:val="00C63BD9"/>
    <w:rsid w:val="00C6660D"/>
    <w:rsid w:val="00C66F39"/>
    <w:rsid w:val="00C7117F"/>
    <w:rsid w:val="00C71781"/>
    <w:rsid w:val="00C7202F"/>
    <w:rsid w:val="00C73020"/>
    <w:rsid w:val="00C74500"/>
    <w:rsid w:val="00C74B58"/>
    <w:rsid w:val="00C74BE7"/>
    <w:rsid w:val="00C76AB2"/>
    <w:rsid w:val="00C80BF1"/>
    <w:rsid w:val="00C8283E"/>
    <w:rsid w:val="00C83EF1"/>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301B"/>
    <w:rsid w:val="00CE650F"/>
    <w:rsid w:val="00CE6BC3"/>
    <w:rsid w:val="00CE71AA"/>
    <w:rsid w:val="00CE79A3"/>
    <w:rsid w:val="00CE7D31"/>
    <w:rsid w:val="00CF0C27"/>
    <w:rsid w:val="00CF10FC"/>
    <w:rsid w:val="00CF1E63"/>
    <w:rsid w:val="00CF2166"/>
    <w:rsid w:val="00CF2B6C"/>
    <w:rsid w:val="00CF3E65"/>
    <w:rsid w:val="00CF67EC"/>
    <w:rsid w:val="00CF6E62"/>
    <w:rsid w:val="00D003D7"/>
    <w:rsid w:val="00D018CC"/>
    <w:rsid w:val="00D032CE"/>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452"/>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65BA"/>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D5EB2"/>
    <w:rsid w:val="00DE0082"/>
    <w:rsid w:val="00DE1323"/>
    <w:rsid w:val="00DE294A"/>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386"/>
    <w:rsid w:val="00E31FD9"/>
    <w:rsid w:val="00E328B5"/>
    <w:rsid w:val="00E330CE"/>
    <w:rsid w:val="00E33D1A"/>
    <w:rsid w:val="00E341DD"/>
    <w:rsid w:val="00E367E5"/>
    <w:rsid w:val="00E4179E"/>
    <w:rsid w:val="00E42651"/>
    <w:rsid w:val="00E42D2D"/>
    <w:rsid w:val="00E44F67"/>
    <w:rsid w:val="00E45EDE"/>
    <w:rsid w:val="00E45F73"/>
    <w:rsid w:val="00E47FB7"/>
    <w:rsid w:val="00E50AE9"/>
    <w:rsid w:val="00E5210F"/>
    <w:rsid w:val="00E56DCD"/>
    <w:rsid w:val="00E604C5"/>
    <w:rsid w:val="00E60E6A"/>
    <w:rsid w:val="00E61767"/>
    <w:rsid w:val="00E624B0"/>
    <w:rsid w:val="00E62AD4"/>
    <w:rsid w:val="00E62E07"/>
    <w:rsid w:val="00E62FBC"/>
    <w:rsid w:val="00E6521F"/>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1641"/>
    <w:rsid w:val="00EA1DDE"/>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214D"/>
    <w:rsid w:val="00ED5249"/>
    <w:rsid w:val="00ED7EAC"/>
    <w:rsid w:val="00EE1265"/>
    <w:rsid w:val="00EE15F9"/>
    <w:rsid w:val="00EE2166"/>
    <w:rsid w:val="00EE2CD6"/>
    <w:rsid w:val="00EE52B9"/>
    <w:rsid w:val="00EE5BC1"/>
    <w:rsid w:val="00EE5E08"/>
    <w:rsid w:val="00EF0442"/>
    <w:rsid w:val="00EF5D08"/>
    <w:rsid w:val="00EF5E75"/>
    <w:rsid w:val="00EF656F"/>
    <w:rsid w:val="00EF7FF0"/>
    <w:rsid w:val="00F033B4"/>
    <w:rsid w:val="00F03EA0"/>
    <w:rsid w:val="00F04367"/>
    <w:rsid w:val="00F04618"/>
    <w:rsid w:val="00F04D02"/>
    <w:rsid w:val="00F11A7E"/>
    <w:rsid w:val="00F123F2"/>
    <w:rsid w:val="00F1301F"/>
    <w:rsid w:val="00F1590C"/>
    <w:rsid w:val="00F16B95"/>
    <w:rsid w:val="00F2021D"/>
    <w:rsid w:val="00F227E8"/>
    <w:rsid w:val="00F25849"/>
    <w:rsid w:val="00F25E1A"/>
    <w:rsid w:val="00F26C9C"/>
    <w:rsid w:val="00F27EDC"/>
    <w:rsid w:val="00F30AAE"/>
    <w:rsid w:val="00F31EA8"/>
    <w:rsid w:val="00F33603"/>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3196"/>
    <w:rsid w:val="00F75C64"/>
    <w:rsid w:val="00F7787D"/>
    <w:rsid w:val="00F77B68"/>
    <w:rsid w:val="00F80294"/>
    <w:rsid w:val="00F808EF"/>
    <w:rsid w:val="00F813FD"/>
    <w:rsid w:val="00F81C81"/>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5A0F"/>
    <w:rsid w:val="00F960AE"/>
    <w:rsid w:val="00F96460"/>
    <w:rsid w:val="00F96CBE"/>
    <w:rsid w:val="00F9783C"/>
    <w:rsid w:val="00F978BB"/>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6D6D"/>
    <w:rsid w:val="00FE7FC9"/>
    <w:rsid w:val="00FF510E"/>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efaultImageDpi w14:val="300"/>
  <w15:chartTrackingRefBased/>
  <w15:docId w15:val="{A5202D3F-D9EB-4FBC-8693-A71DCC16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91E"/>
    <w:pPr>
      <w:spacing w:after="120"/>
    </w:pPr>
    <w:rPr>
      <w:rFonts w:ascii="MetaNormal-Roman" w:hAnsi="MetaNormal-Roman"/>
      <w:sz w:val="24"/>
      <w:szCs w:val="24"/>
    </w:rPr>
  </w:style>
  <w:style w:type="paragraph" w:styleId="Heading1">
    <w:name w:val="heading 1"/>
    <w:basedOn w:val="Normal"/>
    <w:next w:val="Normal"/>
    <w:qFormat/>
    <w:rsid w:val="0075391E"/>
    <w:pPr>
      <w:keepNext/>
      <w:outlineLvl w:val="0"/>
    </w:pPr>
    <w:rPr>
      <w:rFonts w:ascii="MetaBold-Roman" w:hAnsi="MetaBold-Roman" w:cs="Arial"/>
      <w:bCs/>
      <w:kern w:val="32"/>
      <w:sz w:val="48"/>
      <w:szCs w:val="32"/>
    </w:rPr>
  </w:style>
  <w:style w:type="paragraph" w:styleId="Heading2">
    <w:name w:val="heading 2"/>
    <w:basedOn w:val="Normal"/>
    <w:next w:val="Normal"/>
    <w:qFormat/>
    <w:rsid w:val="0075391E"/>
    <w:pPr>
      <w:keepNext/>
      <w:outlineLvl w:val="1"/>
    </w:pPr>
    <w:rPr>
      <w:rFonts w:cs="Arial"/>
      <w:bCs/>
      <w:iCs/>
      <w:sz w:val="36"/>
      <w:szCs w:val="32"/>
      <w:u w:val="single"/>
    </w:rPr>
  </w:style>
  <w:style w:type="paragraph" w:styleId="Heading3">
    <w:name w:val="heading 3"/>
    <w:basedOn w:val="Normal"/>
    <w:next w:val="Normal"/>
    <w:qFormat/>
    <w:rsid w:val="0075391E"/>
    <w:pPr>
      <w:keepNext/>
      <w:outlineLvl w:val="2"/>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paragraph" w:styleId="ListParagraph">
    <w:name w:val="List Paragraph"/>
    <w:basedOn w:val="Normal"/>
    <w:uiPriority w:val="34"/>
    <w:qFormat/>
    <w:rsid w:val="00043DAD"/>
    <w:pPr>
      <w:ind w:left="720"/>
    </w:pPr>
    <w:rPr>
      <w:rFonts w:eastAsia="Calibri"/>
      <w:szCs w:val="22"/>
      <w:lang w:eastAsia="en-US"/>
    </w:rPr>
  </w:style>
  <w:style w:type="paragraph" w:styleId="BalloonText">
    <w:name w:val="Balloon Text"/>
    <w:basedOn w:val="Normal"/>
    <w:link w:val="BalloonTextChar"/>
    <w:rsid w:val="002D5FE3"/>
    <w:pPr>
      <w:spacing w:after="0"/>
    </w:pPr>
    <w:rPr>
      <w:rFonts w:ascii="Segoe UI" w:hAnsi="Segoe UI" w:cs="Segoe UI"/>
      <w:sz w:val="18"/>
      <w:szCs w:val="18"/>
    </w:rPr>
  </w:style>
  <w:style w:type="character" w:customStyle="1" w:styleId="BalloonTextChar">
    <w:name w:val="Balloon Text Char"/>
    <w:link w:val="BalloonText"/>
    <w:rsid w:val="002D5FE3"/>
    <w:rPr>
      <w:rFonts w:ascii="Segoe UI" w:hAnsi="Segoe UI" w:cs="Segoe UI"/>
      <w:sz w:val="18"/>
      <w:szCs w:val="18"/>
    </w:rPr>
  </w:style>
  <w:style w:type="paragraph" w:styleId="NoSpacing">
    <w:name w:val="No Spacing"/>
    <w:link w:val="NoSpacingChar"/>
    <w:uiPriority w:val="99"/>
    <w:qFormat/>
    <w:rsid w:val="0075391E"/>
    <w:rPr>
      <w:rFonts w:ascii="MetaNormal-Roman" w:hAnsi="MetaNormal-Roman"/>
      <w:sz w:val="24"/>
      <w:szCs w:val="24"/>
    </w:rPr>
  </w:style>
  <w:style w:type="character" w:styleId="Hyperlink">
    <w:name w:val="Hyperlink"/>
    <w:rsid w:val="00C83EF1"/>
    <w:rPr>
      <w:color w:val="0563C1"/>
      <w:u w:val="single"/>
    </w:rPr>
  </w:style>
  <w:style w:type="character" w:customStyle="1" w:styleId="FooterChar">
    <w:name w:val="Footer Char"/>
    <w:link w:val="Footer"/>
    <w:uiPriority w:val="99"/>
    <w:rsid w:val="00E6521F"/>
    <w:rPr>
      <w:rFonts w:ascii="Arial" w:hAnsi="Arial"/>
      <w:sz w:val="22"/>
      <w:szCs w:val="24"/>
    </w:rPr>
  </w:style>
  <w:style w:type="paragraph" w:styleId="Subtitle">
    <w:name w:val="Subtitle"/>
    <w:basedOn w:val="Normal"/>
    <w:next w:val="Normal"/>
    <w:link w:val="SubtitleChar"/>
    <w:qFormat/>
    <w:rsid w:val="0075391E"/>
    <w:pPr>
      <w:spacing w:after="0"/>
    </w:pPr>
    <w:rPr>
      <w:sz w:val="22"/>
    </w:rPr>
  </w:style>
  <w:style w:type="character" w:customStyle="1" w:styleId="SubtitleChar">
    <w:name w:val="Subtitle Char"/>
    <w:link w:val="Subtitle"/>
    <w:rsid w:val="0075391E"/>
    <w:rPr>
      <w:rFonts w:ascii="MetaNormal-Roman" w:hAnsi="MetaNormal-Roman"/>
      <w:sz w:val="22"/>
      <w:szCs w:val="24"/>
    </w:rPr>
  </w:style>
  <w:style w:type="character" w:customStyle="1" w:styleId="NoSpacingChar">
    <w:name w:val="No Spacing Char"/>
    <w:link w:val="NoSpacing"/>
    <w:uiPriority w:val="99"/>
    <w:rsid w:val="0075391E"/>
    <w:rPr>
      <w:rFonts w:ascii="MetaNormal-Roman" w:hAnsi="MetaNormal-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oter1.xml" Type="http://schemas.openxmlformats.org/officeDocument/2006/relationships/footer"/>
<Relationship Id="rId11" Target="fontTable.xml" Type="http://schemas.openxmlformats.org/officeDocument/2006/relationships/fontTable"/>
<Relationship Id="rId12"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mailto:CPAreform@csyw.qld.gov.au" TargetMode="External" Type="http://schemas.openxmlformats.org/officeDocument/2006/relationships/hyperlink"/>
<Relationship Id="rId8" Target="mailto:CPAreform@csyw.qld.gov.au" TargetMode="External" Type="http://schemas.openxmlformats.org/officeDocument/2006/relationships/hyperlink"/>
<Relationship Id="rId9" Target="header1.xml" Type="http://schemas.openxmlformats.org/officeDocument/2006/relationships/header"/>
</Relationships>

</file>

<file path=word/_rels/header1.xml.rels><?xml version="1.0" encoding="UTF-8" standalone="yes"?>
<Relationships xmlns="http://schemas.openxmlformats.org/package/2006/relationships">
<Relationship Id="rId1" Target="media/image1.jpe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550</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DCCSDS Fact Sheet portrait A4 blue</vt:lpstr>
    </vt:vector>
  </TitlesOfParts>
  <Manager>Department of Communities, Child Safety and Disability Services</Manager>
  <Company>Queensland Government</Company>
  <LinksUpToDate>false</LinksUpToDate>
  <CharactersWithSpaces>3427</CharactersWithSpaces>
  <SharedDoc>false</SharedDoc>
  <HLinks>
    <vt:vector size="6" baseType="variant">
      <vt:variant>
        <vt:i4>4522109</vt:i4>
      </vt:variant>
      <vt:variant>
        <vt:i4>0</vt:i4>
      </vt:variant>
      <vt:variant>
        <vt:i4>0</vt:i4>
      </vt:variant>
      <vt:variant>
        <vt:i4>5</vt:i4>
      </vt:variant>
      <vt:variant>
        <vt:lpwstr>mailto:CPAreform@csyw.qld.gov.au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template</cp:category>
  <dcterms:created xsi:type="dcterms:W3CDTF">2018-05-11T00:32:00Z</dcterms:created>
  <dc:creator>Queensland Government</dc:creator>
  <cp:keywords>cpraa;child;safety;protection;reform;july;amendments;fact;sheet</cp:keywords>
  <cp:lastModifiedBy>Ben Honan</cp:lastModifiedBy>
  <cp:lastPrinted>2018-05-22T23:10:00Z</cp:lastPrinted>
  <dcterms:modified xsi:type="dcterms:W3CDTF">2018-07-20T00:17:00Z</dcterms:modified>
  <cp:revision>9</cp:revision>
  <dc:subject>CPRAA Implementation</dc:subject>
  <dc:title>July Amendments Fact Sheet (.docx)</dc:title>
</cp:coreProperties>
</file>