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2DD67" w14:textId="52F124AF" w:rsidR="00404B79" w:rsidRDefault="00476CA4" w:rsidP="00476CA4">
      <w:pPr>
        <w:pStyle w:val="ARheading1"/>
      </w:pPr>
      <w:bookmarkStart w:id="0" w:name="_Toc525742968"/>
      <w:r>
        <w:t xml:space="preserve">Appendix </w:t>
      </w:r>
      <w:r w:rsidR="00C5466C">
        <w:t>5</w:t>
      </w:r>
      <w:r>
        <w:t>: Compliance checklist</w:t>
      </w:r>
      <w:bookmarkEnd w:id="0"/>
    </w:p>
    <w:tbl>
      <w:tblPr>
        <w:tblStyle w:val="TableGrid1"/>
        <w:tblW w:w="5000" w:type="pct"/>
        <w:tblBorders>
          <w:top w:val="single" w:sz="48" w:space="0" w:color="EDF0F0"/>
          <w:left w:val="single" w:sz="48" w:space="0" w:color="EDF0F0"/>
          <w:bottom w:val="single" w:sz="48" w:space="0" w:color="EDF0F0"/>
          <w:right w:val="single" w:sz="48" w:space="0" w:color="EDF0F0"/>
          <w:insideH w:val="single" w:sz="48" w:space="0" w:color="EDF0F0"/>
          <w:insideV w:val="single" w:sz="48" w:space="0" w:color="EDF0F0"/>
        </w:tblBorders>
        <w:shd w:val="clear" w:color="auto" w:fill="D9D9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99"/>
        <w:gridCol w:w="4111"/>
        <w:gridCol w:w="2268"/>
        <w:gridCol w:w="1634"/>
      </w:tblGrid>
      <w:tr w:rsidR="00E33AB6" w:rsidRPr="0043129C" w14:paraId="67739333" w14:textId="77777777" w:rsidTr="00E33AB6">
        <w:tc>
          <w:tcPr>
            <w:tcW w:w="2949" w:type="pct"/>
            <w:gridSpan w:val="2"/>
            <w:tcBorders>
              <w:bottom w:val="single" w:sz="48" w:space="0" w:color="EDF0F0"/>
            </w:tcBorders>
            <w:shd w:val="clear" w:color="auto" w:fill="55256E"/>
            <w:vAlign w:val="center"/>
          </w:tcPr>
          <w:p w14:paraId="6DAC81A4" w14:textId="4C89093B" w:rsidR="00E33AB6" w:rsidRPr="002B39BB" w:rsidRDefault="00E33AB6" w:rsidP="00E33AB6">
            <w:pPr>
              <w:pStyle w:val="ARTablecopy"/>
              <w:rPr>
                <w:sz w:val="20"/>
              </w:rPr>
            </w:pPr>
            <w:r w:rsidRPr="002B39BB">
              <w:rPr>
                <w:sz w:val="20"/>
              </w:rPr>
              <w:t>Summary of requirement</w:t>
            </w:r>
          </w:p>
        </w:tc>
        <w:tc>
          <w:tcPr>
            <w:tcW w:w="1192" w:type="pct"/>
            <w:tcBorders>
              <w:bottom w:val="single" w:sz="48" w:space="0" w:color="EDF0F0"/>
            </w:tcBorders>
            <w:shd w:val="clear" w:color="auto" w:fill="55256E"/>
            <w:vAlign w:val="center"/>
          </w:tcPr>
          <w:p w14:paraId="38248D4C" w14:textId="4033FFDD" w:rsidR="00E33AB6" w:rsidRPr="002B39BB" w:rsidRDefault="00E33AB6" w:rsidP="00E33AB6">
            <w:pPr>
              <w:pStyle w:val="ARTablecopy"/>
              <w:rPr>
                <w:sz w:val="20"/>
              </w:rPr>
            </w:pPr>
            <w:r w:rsidRPr="002B39BB">
              <w:rPr>
                <w:sz w:val="20"/>
              </w:rPr>
              <w:t>Basis for requirement</w:t>
            </w:r>
          </w:p>
        </w:tc>
        <w:tc>
          <w:tcPr>
            <w:tcW w:w="859" w:type="pct"/>
            <w:tcBorders>
              <w:bottom w:val="single" w:sz="48" w:space="0" w:color="EDF0F0"/>
            </w:tcBorders>
            <w:shd w:val="clear" w:color="auto" w:fill="55256E"/>
            <w:vAlign w:val="center"/>
          </w:tcPr>
          <w:p w14:paraId="0E1219C7" w14:textId="25EB9C8D" w:rsidR="00E33AB6" w:rsidRPr="002B39BB" w:rsidRDefault="00E33AB6" w:rsidP="00E33AB6">
            <w:pPr>
              <w:pStyle w:val="ARTablecopy"/>
              <w:rPr>
                <w:sz w:val="20"/>
              </w:rPr>
            </w:pPr>
            <w:r w:rsidRPr="002B39BB">
              <w:rPr>
                <w:sz w:val="20"/>
              </w:rPr>
              <w:t>Annual report reference</w:t>
            </w:r>
          </w:p>
        </w:tc>
      </w:tr>
      <w:tr w:rsidR="00E33AB6" w:rsidRPr="00375C5D" w14:paraId="2B9C84F8" w14:textId="77777777" w:rsidTr="002B39BB">
        <w:tc>
          <w:tcPr>
            <w:tcW w:w="788" w:type="pct"/>
            <w:shd w:val="clear" w:color="auto" w:fill="D9D9D9"/>
          </w:tcPr>
          <w:p w14:paraId="57E2F64D" w14:textId="362A20F8" w:rsidR="00E33AB6" w:rsidRPr="00E33AB6" w:rsidRDefault="00E33AB6" w:rsidP="00E33AB6">
            <w:pPr>
              <w:pStyle w:val="ARTablecopy"/>
              <w:rPr>
                <w:sz w:val="16"/>
              </w:rPr>
            </w:pPr>
            <w:r w:rsidRPr="00E33AB6">
              <w:rPr>
                <w:sz w:val="16"/>
              </w:rPr>
              <w:t>Letter of compliance</w:t>
            </w:r>
          </w:p>
        </w:tc>
        <w:tc>
          <w:tcPr>
            <w:tcW w:w="2160" w:type="pct"/>
            <w:shd w:val="clear" w:color="auto" w:fill="D9D9D9"/>
          </w:tcPr>
          <w:p w14:paraId="3FB97834" w14:textId="093F8C1C" w:rsidR="00E33AB6" w:rsidRPr="00E33AB6" w:rsidRDefault="00E33AB6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A letter of compliance from the accountable officer or statutory body to the relevant Minister/s</w:t>
            </w:r>
          </w:p>
        </w:tc>
        <w:tc>
          <w:tcPr>
            <w:tcW w:w="1192" w:type="pct"/>
            <w:shd w:val="clear" w:color="auto" w:fill="D9D9D9"/>
          </w:tcPr>
          <w:p w14:paraId="50C00032" w14:textId="65EEC29F" w:rsidR="00E33AB6" w:rsidRPr="00E33AB6" w:rsidRDefault="00E33AB6" w:rsidP="00E33AB6">
            <w:pPr>
              <w:pStyle w:val="ARTablecopy"/>
              <w:rPr>
                <w:sz w:val="16"/>
              </w:rPr>
            </w:pPr>
            <w:r w:rsidRPr="00E33AB6">
              <w:rPr>
                <w:sz w:val="16"/>
              </w:rPr>
              <w:t>ARRs</w:t>
            </w:r>
            <w:r w:rsidRPr="00E33AB6">
              <w:rPr>
                <w:i/>
                <w:sz w:val="16"/>
              </w:rPr>
              <w:t xml:space="preserve"> – </w:t>
            </w:r>
            <w:r w:rsidRPr="00E33AB6">
              <w:rPr>
                <w:sz w:val="16"/>
              </w:rPr>
              <w:t>section 7</w:t>
            </w:r>
          </w:p>
        </w:tc>
        <w:tc>
          <w:tcPr>
            <w:tcW w:w="859" w:type="pct"/>
            <w:shd w:val="clear" w:color="auto" w:fill="D9D9D9"/>
          </w:tcPr>
          <w:p w14:paraId="390FBB98" w14:textId="1A120907" w:rsidR="00E33AB6" w:rsidRPr="00E33AB6" w:rsidRDefault="0093029A" w:rsidP="0093029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3</w:t>
            </w:r>
          </w:p>
        </w:tc>
      </w:tr>
      <w:tr w:rsidR="00E33AB6" w14:paraId="090665E3" w14:textId="77777777" w:rsidTr="002B39BB">
        <w:tc>
          <w:tcPr>
            <w:tcW w:w="788" w:type="pct"/>
            <w:vMerge w:val="restart"/>
            <w:shd w:val="clear" w:color="auto" w:fill="D9D9D9"/>
          </w:tcPr>
          <w:p w14:paraId="2EA5F443" w14:textId="0EA25EE0" w:rsidR="00E33AB6" w:rsidRPr="00E33AB6" w:rsidRDefault="00E33AB6" w:rsidP="00E33AB6">
            <w:pPr>
              <w:pStyle w:val="ARTablecopy"/>
              <w:rPr>
                <w:sz w:val="16"/>
              </w:rPr>
            </w:pPr>
            <w:r w:rsidRPr="00E33AB6">
              <w:rPr>
                <w:sz w:val="16"/>
              </w:rPr>
              <w:t>Accessibility</w:t>
            </w:r>
          </w:p>
        </w:tc>
        <w:tc>
          <w:tcPr>
            <w:tcW w:w="2160" w:type="pct"/>
            <w:shd w:val="clear" w:color="auto" w:fill="D9D9D9"/>
          </w:tcPr>
          <w:p w14:paraId="4F5BFAA5" w14:textId="77777777" w:rsidR="00E33AB6" w:rsidRPr="00E33AB6" w:rsidRDefault="00E33AB6" w:rsidP="00EF66BD">
            <w:pPr>
              <w:pStyle w:val="ARTablecopy"/>
              <w:numPr>
                <w:ilvl w:val="0"/>
                <w:numId w:val="11"/>
              </w:numPr>
              <w:spacing w:after="120"/>
              <w:ind w:left="311" w:hanging="215"/>
              <w:rPr>
                <w:sz w:val="16"/>
              </w:rPr>
            </w:pPr>
            <w:r w:rsidRPr="00E33AB6">
              <w:rPr>
                <w:sz w:val="16"/>
              </w:rPr>
              <w:t>Table of contents</w:t>
            </w:r>
          </w:p>
          <w:p w14:paraId="7F1550AA" w14:textId="16AB5DC4" w:rsidR="00E33AB6" w:rsidRPr="00E33AB6" w:rsidRDefault="00E33AB6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Glossary</w:t>
            </w:r>
          </w:p>
        </w:tc>
        <w:tc>
          <w:tcPr>
            <w:tcW w:w="1192" w:type="pct"/>
            <w:shd w:val="clear" w:color="auto" w:fill="D9D9D9"/>
          </w:tcPr>
          <w:p w14:paraId="20F5855C" w14:textId="4738E92A" w:rsidR="00E33AB6" w:rsidRPr="00E33AB6" w:rsidRDefault="00E33AB6" w:rsidP="00E33AB6">
            <w:pPr>
              <w:pStyle w:val="ARTablecopy"/>
              <w:rPr>
                <w:sz w:val="16"/>
              </w:rPr>
            </w:pPr>
            <w:r w:rsidRPr="00E33AB6">
              <w:rPr>
                <w:sz w:val="16"/>
              </w:rPr>
              <w:t>ARRs – section 9.1</w:t>
            </w:r>
          </w:p>
        </w:tc>
        <w:tc>
          <w:tcPr>
            <w:tcW w:w="859" w:type="pct"/>
            <w:shd w:val="clear" w:color="auto" w:fill="D9D9D9"/>
          </w:tcPr>
          <w:p w14:paraId="3B2B825D" w14:textId="77777777" w:rsidR="00E33AB6" w:rsidRDefault="00513AF9" w:rsidP="0076266C">
            <w:pPr>
              <w:pStyle w:val="ARTablecopy"/>
              <w:numPr>
                <w:ilvl w:val="0"/>
                <w:numId w:val="11"/>
              </w:numPr>
              <w:spacing w:after="120"/>
              <w:ind w:left="311" w:hanging="215"/>
              <w:rPr>
                <w:sz w:val="16"/>
              </w:rPr>
            </w:pPr>
            <w:r>
              <w:rPr>
                <w:sz w:val="16"/>
              </w:rPr>
              <w:t>Page 5</w:t>
            </w:r>
          </w:p>
          <w:p w14:paraId="2F9883D6" w14:textId="50B9A56A" w:rsidR="00513AF9" w:rsidRPr="00E33AB6" w:rsidRDefault="00513AF9" w:rsidP="00F25311">
            <w:pPr>
              <w:pStyle w:val="ARTablecopy"/>
              <w:numPr>
                <w:ilvl w:val="0"/>
                <w:numId w:val="11"/>
              </w:numPr>
              <w:spacing w:after="120"/>
              <w:ind w:left="311" w:hanging="215"/>
              <w:rPr>
                <w:sz w:val="16"/>
              </w:rPr>
            </w:pPr>
            <w:r>
              <w:rPr>
                <w:sz w:val="16"/>
              </w:rPr>
              <w:t>Page</w:t>
            </w:r>
            <w:r w:rsidR="0076266C">
              <w:rPr>
                <w:sz w:val="16"/>
              </w:rPr>
              <w:t xml:space="preserve"> 10</w:t>
            </w:r>
            <w:r w:rsidR="00F25311">
              <w:rPr>
                <w:sz w:val="16"/>
              </w:rPr>
              <w:t>7</w:t>
            </w:r>
          </w:p>
        </w:tc>
      </w:tr>
      <w:tr w:rsidR="00E33AB6" w14:paraId="46F532DA" w14:textId="77777777" w:rsidTr="002B39BB">
        <w:tc>
          <w:tcPr>
            <w:tcW w:w="788" w:type="pct"/>
            <w:vMerge/>
            <w:shd w:val="clear" w:color="auto" w:fill="D9D9D9"/>
          </w:tcPr>
          <w:p w14:paraId="557F7155" w14:textId="0724A55A" w:rsidR="00E33AB6" w:rsidRPr="00E33AB6" w:rsidRDefault="00E33AB6" w:rsidP="00E33AB6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60FEDEC5" w14:textId="6D55DC9A" w:rsidR="00E33AB6" w:rsidRPr="00E33AB6" w:rsidRDefault="00E33AB6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Public availability</w:t>
            </w:r>
          </w:p>
        </w:tc>
        <w:tc>
          <w:tcPr>
            <w:tcW w:w="1192" w:type="pct"/>
            <w:shd w:val="clear" w:color="auto" w:fill="D9D9D9"/>
          </w:tcPr>
          <w:p w14:paraId="44461E88" w14:textId="11FCF2D0" w:rsidR="00E33AB6" w:rsidRPr="00E33AB6" w:rsidRDefault="00E33AB6" w:rsidP="00E33AB6">
            <w:pPr>
              <w:pStyle w:val="ARTablecopy"/>
              <w:rPr>
                <w:sz w:val="16"/>
              </w:rPr>
            </w:pPr>
            <w:r w:rsidRPr="00E33AB6">
              <w:rPr>
                <w:sz w:val="16"/>
              </w:rPr>
              <w:t>ARRs – section 9.2</w:t>
            </w:r>
          </w:p>
        </w:tc>
        <w:tc>
          <w:tcPr>
            <w:tcW w:w="859" w:type="pct"/>
            <w:shd w:val="clear" w:color="auto" w:fill="D9D9D9"/>
          </w:tcPr>
          <w:p w14:paraId="152BA8BE" w14:textId="28B1BE28" w:rsidR="00E33AB6" w:rsidRPr="00E33AB6" w:rsidRDefault="00976A5A" w:rsidP="00976A5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2</w:t>
            </w:r>
          </w:p>
        </w:tc>
      </w:tr>
      <w:tr w:rsidR="00E33AB6" w:rsidRPr="00FC4078" w14:paraId="46EC5DA4" w14:textId="77777777" w:rsidTr="002B39BB">
        <w:tc>
          <w:tcPr>
            <w:tcW w:w="788" w:type="pct"/>
            <w:vMerge/>
            <w:shd w:val="clear" w:color="auto" w:fill="D9D9D9"/>
          </w:tcPr>
          <w:p w14:paraId="47ACA704" w14:textId="23E81F99" w:rsidR="00E33AB6" w:rsidRPr="00E33AB6" w:rsidRDefault="00E33AB6" w:rsidP="00E33AB6">
            <w:pPr>
              <w:pStyle w:val="ARTablecopy"/>
              <w:rPr>
                <w:b/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3CD2FC72" w14:textId="2FFBDA93" w:rsidR="00E33AB6" w:rsidRPr="00E33AB6" w:rsidRDefault="00E33AB6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Interpreter service statement</w:t>
            </w:r>
          </w:p>
        </w:tc>
        <w:tc>
          <w:tcPr>
            <w:tcW w:w="1192" w:type="pct"/>
            <w:shd w:val="clear" w:color="auto" w:fill="D9D9D9"/>
          </w:tcPr>
          <w:p w14:paraId="6BFCF80A" w14:textId="77777777" w:rsidR="00E33AB6" w:rsidRPr="00E33AB6" w:rsidRDefault="00E33AB6" w:rsidP="00E33AB6">
            <w:pPr>
              <w:pStyle w:val="ARTablecopy"/>
              <w:spacing w:after="120"/>
              <w:rPr>
                <w:i/>
                <w:sz w:val="16"/>
              </w:rPr>
            </w:pPr>
            <w:r w:rsidRPr="00E33AB6">
              <w:rPr>
                <w:i/>
                <w:sz w:val="16"/>
              </w:rPr>
              <w:t>Queensland Government Language Services Policy</w:t>
            </w:r>
          </w:p>
          <w:p w14:paraId="2812690F" w14:textId="62C49224" w:rsidR="00E33AB6" w:rsidRPr="00E33AB6" w:rsidRDefault="00E33AB6" w:rsidP="00E33AB6">
            <w:pPr>
              <w:pStyle w:val="ARTablecopy"/>
              <w:rPr>
                <w:b/>
                <w:sz w:val="16"/>
              </w:rPr>
            </w:pPr>
            <w:r w:rsidRPr="00E33AB6">
              <w:rPr>
                <w:sz w:val="16"/>
              </w:rPr>
              <w:t>ARRs – section 9.3</w:t>
            </w:r>
          </w:p>
        </w:tc>
        <w:tc>
          <w:tcPr>
            <w:tcW w:w="859" w:type="pct"/>
            <w:shd w:val="clear" w:color="auto" w:fill="D9D9D9"/>
          </w:tcPr>
          <w:p w14:paraId="45902BC7" w14:textId="59C311F6" w:rsidR="00E33AB6" w:rsidRPr="00976A5A" w:rsidRDefault="005830B5" w:rsidP="00976A5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2</w:t>
            </w:r>
          </w:p>
        </w:tc>
      </w:tr>
      <w:tr w:rsidR="005830B5" w:rsidRPr="00FC4078" w14:paraId="2211B9D7" w14:textId="77777777" w:rsidTr="002B39BB">
        <w:tc>
          <w:tcPr>
            <w:tcW w:w="788" w:type="pct"/>
            <w:vMerge/>
            <w:shd w:val="clear" w:color="auto" w:fill="D9D9D9"/>
          </w:tcPr>
          <w:p w14:paraId="3E96A89A" w14:textId="77777777" w:rsidR="005830B5" w:rsidRPr="00E33AB6" w:rsidRDefault="005830B5" w:rsidP="005830B5">
            <w:pPr>
              <w:pStyle w:val="ARTablecopy"/>
              <w:rPr>
                <w:b/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34CEF350" w14:textId="1D132AA0" w:rsidR="005830B5" w:rsidRPr="00E33AB6" w:rsidRDefault="005830B5" w:rsidP="005830B5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Copyright notice</w:t>
            </w:r>
          </w:p>
        </w:tc>
        <w:tc>
          <w:tcPr>
            <w:tcW w:w="1192" w:type="pct"/>
            <w:shd w:val="clear" w:color="auto" w:fill="D9D9D9"/>
          </w:tcPr>
          <w:p w14:paraId="0356F47A" w14:textId="77777777" w:rsidR="005830B5" w:rsidRPr="00E33AB6" w:rsidRDefault="005830B5" w:rsidP="005830B5">
            <w:pPr>
              <w:pStyle w:val="ARTablecopy"/>
              <w:spacing w:after="120"/>
              <w:rPr>
                <w:i/>
                <w:sz w:val="16"/>
              </w:rPr>
            </w:pPr>
            <w:r w:rsidRPr="00E33AB6">
              <w:rPr>
                <w:i/>
                <w:sz w:val="16"/>
              </w:rPr>
              <w:t>Copyright Act 1968</w:t>
            </w:r>
          </w:p>
          <w:p w14:paraId="025915F7" w14:textId="39ED9036" w:rsidR="005830B5" w:rsidRPr="00E33AB6" w:rsidRDefault="005830B5" w:rsidP="005830B5">
            <w:pPr>
              <w:pStyle w:val="ARTablecopy"/>
              <w:rPr>
                <w:i/>
                <w:sz w:val="16"/>
              </w:rPr>
            </w:pPr>
            <w:r w:rsidRPr="00E33AB6">
              <w:rPr>
                <w:sz w:val="16"/>
              </w:rPr>
              <w:t>ARRs – section 9.4</w:t>
            </w:r>
          </w:p>
        </w:tc>
        <w:tc>
          <w:tcPr>
            <w:tcW w:w="859" w:type="pct"/>
            <w:shd w:val="clear" w:color="auto" w:fill="D9D9D9"/>
          </w:tcPr>
          <w:p w14:paraId="2EAC464D" w14:textId="38795180" w:rsidR="005830B5" w:rsidRPr="00976A5A" w:rsidRDefault="005830B5" w:rsidP="005830B5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257E96">
              <w:rPr>
                <w:sz w:val="16"/>
              </w:rPr>
              <w:t>Page 2</w:t>
            </w:r>
          </w:p>
        </w:tc>
      </w:tr>
      <w:tr w:rsidR="005830B5" w:rsidRPr="00FC4078" w14:paraId="0E345867" w14:textId="77777777" w:rsidTr="002B39BB">
        <w:tc>
          <w:tcPr>
            <w:tcW w:w="788" w:type="pct"/>
            <w:vMerge/>
            <w:shd w:val="clear" w:color="auto" w:fill="D9D9D9"/>
          </w:tcPr>
          <w:p w14:paraId="15445854" w14:textId="77777777" w:rsidR="005830B5" w:rsidRPr="00E33AB6" w:rsidRDefault="005830B5" w:rsidP="005830B5">
            <w:pPr>
              <w:pStyle w:val="ARTablecopy"/>
              <w:rPr>
                <w:b/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79FD430A" w14:textId="0930283C" w:rsidR="005830B5" w:rsidRPr="00E33AB6" w:rsidRDefault="005830B5" w:rsidP="005830B5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Information Licensing</w:t>
            </w:r>
          </w:p>
        </w:tc>
        <w:tc>
          <w:tcPr>
            <w:tcW w:w="1192" w:type="pct"/>
            <w:shd w:val="clear" w:color="auto" w:fill="D9D9D9"/>
          </w:tcPr>
          <w:p w14:paraId="17843DD9" w14:textId="77777777" w:rsidR="005830B5" w:rsidRPr="00E33AB6" w:rsidRDefault="005830B5" w:rsidP="005830B5">
            <w:pPr>
              <w:pStyle w:val="ARTablecopy"/>
              <w:spacing w:after="120"/>
              <w:rPr>
                <w:i/>
                <w:sz w:val="16"/>
              </w:rPr>
            </w:pPr>
            <w:r w:rsidRPr="00E33AB6">
              <w:rPr>
                <w:i/>
                <w:sz w:val="16"/>
              </w:rPr>
              <w:t>QGEA – Information Licensing</w:t>
            </w:r>
          </w:p>
          <w:p w14:paraId="0401BD24" w14:textId="47455C36" w:rsidR="005830B5" w:rsidRPr="00E33AB6" w:rsidRDefault="005830B5" w:rsidP="005830B5">
            <w:pPr>
              <w:pStyle w:val="ARTablecopy"/>
              <w:rPr>
                <w:i/>
                <w:sz w:val="16"/>
              </w:rPr>
            </w:pPr>
            <w:r w:rsidRPr="00E33AB6">
              <w:rPr>
                <w:sz w:val="16"/>
              </w:rPr>
              <w:t>ARRs – section 9.5</w:t>
            </w:r>
          </w:p>
        </w:tc>
        <w:tc>
          <w:tcPr>
            <w:tcW w:w="859" w:type="pct"/>
            <w:shd w:val="clear" w:color="auto" w:fill="D9D9D9"/>
          </w:tcPr>
          <w:p w14:paraId="51C1ADC6" w14:textId="2138781D" w:rsidR="005830B5" w:rsidRPr="00976A5A" w:rsidRDefault="005830B5" w:rsidP="005830B5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257E96">
              <w:rPr>
                <w:sz w:val="16"/>
              </w:rPr>
              <w:t>Page 2</w:t>
            </w:r>
          </w:p>
        </w:tc>
      </w:tr>
      <w:tr w:rsidR="00E33AB6" w:rsidRPr="00FC4078" w14:paraId="6CC81D3E" w14:textId="77777777" w:rsidTr="002B39BB">
        <w:tc>
          <w:tcPr>
            <w:tcW w:w="788" w:type="pct"/>
            <w:vMerge w:val="restart"/>
            <w:shd w:val="clear" w:color="auto" w:fill="D9D9D9"/>
          </w:tcPr>
          <w:p w14:paraId="6862DC01" w14:textId="33279ED9" w:rsidR="00E33AB6" w:rsidRPr="00E33AB6" w:rsidRDefault="00E33AB6" w:rsidP="00E33AB6">
            <w:pPr>
              <w:pStyle w:val="ARTablecopy"/>
              <w:rPr>
                <w:sz w:val="16"/>
              </w:rPr>
            </w:pPr>
            <w:r w:rsidRPr="00E33AB6">
              <w:rPr>
                <w:bCs/>
                <w:sz w:val="16"/>
                <w:szCs w:val="16"/>
              </w:rPr>
              <w:t>General information</w:t>
            </w:r>
          </w:p>
        </w:tc>
        <w:tc>
          <w:tcPr>
            <w:tcW w:w="2160" w:type="pct"/>
            <w:shd w:val="clear" w:color="auto" w:fill="D9D9D9"/>
          </w:tcPr>
          <w:p w14:paraId="339EF3C5" w14:textId="54C71B43" w:rsidR="00E33AB6" w:rsidRPr="00E33AB6" w:rsidRDefault="00E33AB6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  <w:szCs w:val="16"/>
              </w:rPr>
              <w:t>Introductory Information</w:t>
            </w:r>
          </w:p>
        </w:tc>
        <w:tc>
          <w:tcPr>
            <w:tcW w:w="1192" w:type="pct"/>
            <w:shd w:val="clear" w:color="auto" w:fill="D9D9D9"/>
          </w:tcPr>
          <w:p w14:paraId="73FAAB7F" w14:textId="756DBE1E" w:rsidR="00E33AB6" w:rsidRPr="00EC1FCD" w:rsidRDefault="00E33AB6" w:rsidP="00EC1FCD">
            <w:pPr>
              <w:pStyle w:val="ARTablecopy"/>
              <w:rPr>
                <w:sz w:val="16"/>
                <w:szCs w:val="16"/>
              </w:rPr>
            </w:pPr>
            <w:r w:rsidRPr="00EC1FCD">
              <w:rPr>
                <w:sz w:val="16"/>
                <w:szCs w:val="16"/>
              </w:rPr>
              <w:t xml:space="preserve">ARRs – section </w:t>
            </w:r>
            <w:r>
              <w:rPr>
                <w:sz w:val="16"/>
                <w:szCs w:val="16"/>
              </w:rPr>
              <w:t>10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14:paraId="72922CA8" w14:textId="2DE6DFC8" w:rsidR="00E33AB6" w:rsidRPr="00976A5A" w:rsidRDefault="007A272C" w:rsidP="00976A5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6</w:t>
            </w:r>
          </w:p>
        </w:tc>
      </w:tr>
      <w:tr w:rsidR="00E33AB6" w:rsidRPr="00FC4078" w14:paraId="7EB3455B" w14:textId="77777777" w:rsidTr="002B39BB">
        <w:tc>
          <w:tcPr>
            <w:tcW w:w="788" w:type="pct"/>
            <w:vMerge/>
            <w:shd w:val="clear" w:color="auto" w:fill="D9D9D9"/>
          </w:tcPr>
          <w:p w14:paraId="651C86AC" w14:textId="77777777" w:rsidR="00E33AB6" w:rsidRPr="00E33AB6" w:rsidRDefault="00E33AB6" w:rsidP="00E33AB6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12675213" w14:textId="3E78B5E9" w:rsidR="00E33AB6" w:rsidRPr="00E33AB6" w:rsidRDefault="00E33AB6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E33AB6">
              <w:rPr>
                <w:sz w:val="16"/>
                <w:szCs w:val="16"/>
              </w:rPr>
              <w:t>Agency role and main functions</w:t>
            </w:r>
          </w:p>
        </w:tc>
        <w:tc>
          <w:tcPr>
            <w:tcW w:w="1192" w:type="pct"/>
            <w:shd w:val="clear" w:color="auto" w:fill="D9D9D9"/>
          </w:tcPr>
          <w:p w14:paraId="20C4515C" w14:textId="37E77D3E" w:rsidR="00E33AB6" w:rsidRPr="00EC1FCD" w:rsidRDefault="00E33AB6" w:rsidP="00EC1FCD">
            <w:pPr>
              <w:pStyle w:val="ARTablecopy"/>
              <w:rPr>
                <w:sz w:val="16"/>
                <w:szCs w:val="16"/>
              </w:rPr>
            </w:pPr>
            <w:r w:rsidRPr="00EC1FCD">
              <w:rPr>
                <w:sz w:val="16"/>
                <w:szCs w:val="16"/>
              </w:rPr>
              <w:t xml:space="preserve">ARRs – section </w:t>
            </w:r>
            <w:r>
              <w:rPr>
                <w:sz w:val="16"/>
                <w:szCs w:val="16"/>
              </w:rPr>
              <w:t>10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859" w:type="pct"/>
            <w:shd w:val="clear" w:color="auto" w:fill="D9D9D9"/>
          </w:tcPr>
          <w:p w14:paraId="26720194" w14:textId="30A825C7" w:rsidR="00E33AB6" w:rsidRPr="00976A5A" w:rsidRDefault="007A272C" w:rsidP="00F25311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Pages 4, 1</w:t>
            </w:r>
            <w:r w:rsidR="007E29A6">
              <w:rPr>
                <w:sz w:val="16"/>
              </w:rPr>
              <w:t>3</w:t>
            </w:r>
            <w:r>
              <w:rPr>
                <w:sz w:val="16"/>
              </w:rPr>
              <w:t xml:space="preserve">, </w:t>
            </w:r>
            <w:r w:rsidR="00F25311">
              <w:rPr>
                <w:sz w:val="16"/>
              </w:rPr>
              <w:t>94</w:t>
            </w:r>
            <w:r>
              <w:rPr>
                <w:sz w:val="16"/>
              </w:rPr>
              <w:t xml:space="preserve"> and </w:t>
            </w:r>
            <w:r w:rsidR="00F25311">
              <w:rPr>
                <w:sz w:val="16"/>
              </w:rPr>
              <w:t>112</w:t>
            </w:r>
          </w:p>
        </w:tc>
      </w:tr>
      <w:tr w:rsidR="00E33AB6" w:rsidRPr="00FC4078" w14:paraId="7E4E45ED" w14:textId="77777777" w:rsidTr="002B39BB">
        <w:tc>
          <w:tcPr>
            <w:tcW w:w="788" w:type="pct"/>
            <w:vMerge/>
            <w:shd w:val="clear" w:color="auto" w:fill="D9D9D9"/>
          </w:tcPr>
          <w:p w14:paraId="3F10D918" w14:textId="77777777" w:rsidR="00E33AB6" w:rsidRPr="00E33AB6" w:rsidRDefault="00E33AB6" w:rsidP="00E33AB6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0465405E" w14:textId="277263CC" w:rsidR="00E33AB6" w:rsidRPr="00E33AB6" w:rsidRDefault="00885035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Machinery-</w:t>
            </w:r>
            <w:r w:rsidR="00E33AB6" w:rsidRPr="00E33AB6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-g</w:t>
            </w:r>
            <w:r w:rsidR="00E33AB6" w:rsidRPr="00E33AB6">
              <w:rPr>
                <w:sz w:val="16"/>
                <w:szCs w:val="16"/>
              </w:rPr>
              <w:t>overnment changes</w:t>
            </w:r>
          </w:p>
        </w:tc>
        <w:tc>
          <w:tcPr>
            <w:tcW w:w="1192" w:type="pct"/>
            <w:shd w:val="clear" w:color="auto" w:fill="D9D9D9"/>
          </w:tcPr>
          <w:p w14:paraId="3B631709" w14:textId="1B852173" w:rsidR="00E33AB6" w:rsidRPr="00EC1FCD" w:rsidRDefault="00E33AB6" w:rsidP="00EC1FCD">
            <w:pPr>
              <w:pStyle w:val="ARTablecopy"/>
              <w:rPr>
                <w:sz w:val="16"/>
                <w:szCs w:val="16"/>
              </w:rPr>
            </w:pPr>
            <w:r w:rsidRPr="00EC1FCD">
              <w:rPr>
                <w:sz w:val="16"/>
                <w:szCs w:val="16"/>
              </w:rPr>
              <w:t>ARRs – section 31 and 32</w:t>
            </w:r>
          </w:p>
        </w:tc>
        <w:tc>
          <w:tcPr>
            <w:tcW w:w="859" w:type="pct"/>
            <w:shd w:val="clear" w:color="auto" w:fill="D9D9D9"/>
          </w:tcPr>
          <w:p w14:paraId="637799A5" w14:textId="2A1D4CC3" w:rsidR="00E33AB6" w:rsidRPr="00E33AB6" w:rsidRDefault="007A272C" w:rsidP="007A272C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b/>
                <w:sz w:val="16"/>
              </w:rPr>
            </w:pPr>
            <w:r w:rsidRPr="007A272C">
              <w:rPr>
                <w:sz w:val="16"/>
              </w:rPr>
              <w:t>Page 4</w:t>
            </w:r>
          </w:p>
        </w:tc>
      </w:tr>
      <w:tr w:rsidR="00E33AB6" w:rsidRPr="00FC4078" w14:paraId="3E317162" w14:textId="77777777" w:rsidTr="002B39BB">
        <w:trPr>
          <w:trHeight w:val="211"/>
        </w:trPr>
        <w:tc>
          <w:tcPr>
            <w:tcW w:w="788" w:type="pct"/>
            <w:vMerge/>
            <w:shd w:val="clear" w:color="auto" w:fill="D9D9D9"/>
          </w:tcPr>
          <w:p w14:paraId="356119B7" w14:textId="77777777" w:rsidR="00E33AB6" w:rsidRPr="00E33AB6" w:rsidRDefault="00E33AB6" w:rsidP="00E33AB6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69246030" w14:textId="09D789B5" w:rsidR="00E33AB6" w:rsidRPr="00E33AB6" w:rsidRDefault="00E33AB6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E33AB6">
              <w:rPr>
                <w:sz w:val="16"/>
                <w:szCs w:val="16"/>
              </w:rPr>
              <w:t>Operating environment</w:t>
            </w:r>
          </w:p>
        </w:tc>
        <w:tc>
          <w:tcPr>
            <w:tcW w:w="1192" w:type="pct"/>
            <w:shd w:val="clear" w:color="auto" w:fill="D9D9D9"/>
          </w:tcPr>
          <w:p w14:paraId="338B020E" w14:textId="2CCA94B6" w:rsidR="00E33AB6" w:rsidRDefault="00E33AB6" w:rsidP="00EC1FCD">
            <w:pPr>
              <w:pStyle w:val="ARTablecopy"/>
              <w:rPr>
                <w:sz w:val="16"/>
                <w:szCs w:val="16"/>
                <w:lang w:val="fr-FR"/>
              </w:rPr>
            </w:pPr>
            <w:r w:rsidRPr="00155C01">
              <w:rPr>
                <w:sz w:val="16"/>
                <w:szCs w:val="16"/>
              </w:rPr>
              <w:t>ARRs – section 1</w:t>
            </w:r>
            <w:r>
              <w:rPr>
                <w:sz w:val="16"/>
                <w:szCs w:val="16"/>
              </w:rPr>
              <w:t>0.3</w:t>
            </w:r>
          </w:p>
        </w:tc>
        <w:tc>
          <w:tcPr>
            <w:tcW w:w="859" w:type="pct"/>
            <w:shd w:val="clear" w:color="auto" w:fill="D9D9D9"/>
          </w:tcPr>
          <w:p w14:paraId="76DAAD26" w14:textId="164952D6" w:rsidR="00E33AB6" w:rsidRPr="007A272C" w:rsidRDefault="007A272C" w:rsidP="007E29A6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7A272C">
              <w:rPr>
                <w:sz w:val="16"/>
              </w:rPr>
              <w:t>Page 1</w:t>
            </w:r>
            <w:r w:rsidR="007E29A6">
              <w:rPr>
                <w:sz w:val="16"/>
              </w:rPr>
              <w:t>3</w:t>
            </w:r>
          </w:p>
        </w:tc>
      </w:tr>
      <w:tr w:rsidR="00DD13B4" w:rsidRPr="00FC4078" w14:paraId="51C27149" w14:textId="77777777" w:rsidTr="002B39BB">
        <w:tc>
          <w:tcPr>
            <w:tcW w:w="788" w:type="pct"/>
            <w:vMerge w:val="restart"/>
            <w:shd w:val="clear" w:color="auto" w:fill="D9D9D9"/>
          </w:tcPr>
          <w:p w14:paraId="0048C25B" w14:textId="2EDCAEB4" w:rsidR="00DD13B4" w:rsidRPr="00DD13B4" w:rsidRDefault="00DD13B4" w:rsidP="00DD13B4">
            <w:pPr>
              <w:pStyle w:val="ARTablecopy"/>
              <w:rPr>
                <w:sz w:val="16"/>
              </w:rPr>
            </w:pPr>
            <w:r w:rsidRPr="00DD13B4">
              <w:rPr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2160" w:type="pct"/>
            <w:shd w:val="clear" w:color="auto" w:fill="D9D9D9"/>
          </w:tcPr>
          <w:p w14:paraId="0254BB69" w14:textId="1C27CEAD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Government’s objectives for the community</w:t>
            </w:r>
          </w:p>
        </w:tc>
        <w:tc>
          <w:tcPr>
            <w:tcW w:w="1192" w:type="pct"/>
            <w:shd w:val="clear" w:color="auto" w:fill="D9D9D9"/>
          </w:tcPr>
          <w:p w14:paraId="07A64DEB" w14:textId="3E307546" w:rsidR="00DD13B4" w:rsidRPr="00155C01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11</w:t>
            </w:r>
            <w:r w:rsidRPr="003F3429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14:paraId="1207D6A7" w14:textId="4D711FEB" w:rsidR="00DD13B4" w:rsidRPr="007A272C" w:rsidRDefault="007A272C" w:rsidP="007A272C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12</w:t>
            </w:r>
          </w:p>
        </w:tc>
      </w:tr>
      <w:tr w:rsidR="00DD13B4" w:rsidRPr="00FC4078" w14:paraId="2AD54003" w14:textId="77777777" w:rsidTr="002B39BB">
        <w:tc>
          <w:tcPr>
            <w:tcW w:w="788" w:type="pct"/>
            <w:vMerge/>
            <w:shd w:val="clear" w:color="auto" w:fill="D9D9D9"/>
          </w:tcPr>
          <w:p w14:paraId="10F0CB28" w14:textId="77777777" w:rsidR="00DD13B4" w:rsidRPr="00DD13B4" w:rsidRDefault="00DD13B4" w:rsidP="00DD13B4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00AE8431" w14:textId="52058A02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Other whole-of-government plans / specific initiatives</w:t>
            </w:r>
          </w:p>
        </w:tc>
        <w:tc>
          <w:tcPr>
            <w:tcW w:w="1192" w:type="pct"/>
            <w:shd w:val="clear" w:color="auto" w:fill="D9D9D9"/>
          </w:tcPr>
          <w:p w14:paraId="42120A4B" w14:textId="398C3D2D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11.2</w:t>
            </w:r>
          </w:p>
        </w:tc>
        <w:tc>
          <w:tcPr>
            <w:tcW w:w="859" w:type="pct"/>
            <w:shd w:val="clear" w:color="auto" w:fill="D9D9D9"/>
          </w:tcPr>
          <w:p w14:paraId="4921A574" w14:textId="387E0167" w:rsidR="00DD13B4" w:rsidRPr="007A272C" w:rsidRDefault="007E29A6" w:rsidP="007A272C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13</w:t>
            </w:r>
          </w:p>
        </w:tc>
      </w:tr>
      <w:tr w:rsidR="00DD13B4" w:rsidRPr="00FC4078" w14:paraId="1C2D7337" w14:textId="77777777" w:rsidTr="002B39BB">
        <w:tc>
          <w:tcPr>
            <w:tcW w:w="788" w:type="pct"/>
            <w:vMerge/>
            <w:shd w:val="clear" w:color="auto" w:fill="D9D9D9"/>
          </w:tcPr>
          <w:p w14:paraId="505BE577" w14:textId="77777777" w:rsidR="00DD13B4" w:rsidRPr="00DD13B4" w:rsidRDefault="00DD13B4" w:rsidP="00DD13B4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707ED6ED" w14:textId="16A9D861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Agency objectives and performance indicators</w:t>
            </w:r>
          </w:p>
        </w:tc>
        <w:tc>
          <w:tcPr>
            <w:tcW w:w="1192" w:type="pct"/>
            <w:shd w:val="clear" w:color="auto" w:fill="D9D9D9"/>
          </w:tcPr>
          <w:p w14:paraId="4D0833FD" w14:textId="0CDEBB16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11.3</w:t>
            </w:r>
          </w:p>
        </w:tc>
        <w:tc>
          <w:tcPr>
            <w:tcW w:w="859" w:type="pct"/>
            <w:shd w:val="clear" w:color="auto" w:fill="D9D9D9"/>
          </w:tcPr>
          <w:p w14:paraId="4EBF4E58" w14:textId="4373C859" w:rsidR="00D12A0A" w:rsidRPr="007A272C" w:rsidRDefault="00D12A0A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 xml:space="preserve">Pages 20, 24, 26, </w:t>
            </w:r>
            <w:r w:rsidR="000B4487">
              <w:rPr>
                <w:sz w:val="16"/>
              </w:rPr>
              <w:t xml:space="preserve">30, </w:t>
            </w:r>
            <w:r>
              <w:rPr>
                <w:sz w:val="16"/>
              </w:rPr>
              <w:t>32, 36 and 38</w:t>
            </w:r>
          </w:p>
        </w:tc>
      </w:tr>
      <w:tr w:rsidR="00DD13B4" w:rsidRPr="00FC4078" w14:paraId="2643FE50" w14:textId="77777777" w:rsidTr="002B39BB">
        <w:tc>
          <w:tcPr>
            <w:tcW w:w="788" w:type="pct"/>
            <w:vMerge/>
            <w:shd w:val="clear" w:color="auto" w:fill="D9D9D9"/>
          </w:tcPr>
          <w:p w14:paraId="2995DD79" w14:textId="77777777" w:rsidR="00DD13B4" w:rsidRPr="00DD13B4" w:rsidRDefault="00DD13B4" w:rsidP="00DD13B4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755E2B3E" w14:textId="19801650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 xml:space="preserve">Agency service areas and service standards </w:t>
            </w:r>
          </w:p>
        </w:tc>
        <w:tc>
          <w:tcPr>
            <w:tcW w:w="1192" w:type="pct"/>
            <w:shd w:val="clear" w:color="auto" w:fill="D9D9D9"/>
          </w:tcPr>
          <w:p w14:paraId="38ADE3E2" w14:textId="61E4BDF9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11</w:t>
            </w:r>
            <w:r w:rsidRPr="003F34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9" w:type="pct"/>
            <w:shd w:val="clear" w:color="auto" w:fill="D9D9D9"/>
          </w:tcPr>
          <w:p w14:paraId="56201BD5" w14:textId="2CF6F96F" w:rsidR="00D12A0A" w:rsidRDefault="00D12A0A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Pages 20-25</w:t>
            </w:r>
          </w:p>
          <w:p w14:paraId="28D89C9D" w14:textId="77777777" w:rsidR="00D12A0A" w:rsidRDefault="00D12A0A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Pages 26-31</w:t>
            </w:r>
          </w:p>
          <w:p w14:paraId="020C2069" w14:textId="744D4562" w:rsidR="00DD13B4" w:rsidRPr="00D12A0A" w:rsidRDefault="00D12A0A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Pages 32-37</w:t>
            </w:r>
          </w:p>
        </w:tc>
      </w:tr>
      <w:tr w:rsidR="00DD13B4" w:rsidRPr="00FC4078" w14:paraId="0DBD0322" w14:textId="77777777" w:rsidTr="002B39BB">
        <w:tc>
          <w:tcPr>
            <w:tcW w:w="788" w:type="pct"/>
            <w:shd w:val="clear" w:color="auto" w:fill="D9D9D9"/>
          </w:tcPr>
          <w:p w14:paraId="4BCA8EDE" w14:textId="7CF27C6C" w:rsidR="00DD13B4" w:rsidRPr="00DD13B4" w:rsidRDefault="00DD13B4" w:rsidP="00DD13B4">
            <w:pPr>
              <w:pStyle w:val="ARTablecopy"/>
              <w:rPr>
                <w:sz w:val="16"/>
              </w:rPr>
            </w:pPr>
            <w:r w:rsidRPr="00DD13B4">
              <w:rPr>
                <w:bCs/>
                <w:sz w:val="16"/>
                <w:szCs w:val="16"/>
              </w:rPr>
              <w:t>Financial performance</w:t>
            </w:r>
          </w:p>
        </w:tc>
        <w:tc>
          <w:tcPr>
            <w:tcW w:w="2160" w:type="pct"/>
            <w:shd w:val="clear" w:color="auto" w:fill="D9D9D9"/>
          </w:tcPr>
          <w:p w14:paraId="34D7AC06" w14:textId="7D9C3BF5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Summary of financial performance</w:t>
            </w:r>
          </w:p>
        </w:tc>
        <w:tc>
          <w:tcPr>
            <w:tcW w:w="1192" w:type="pct"/>
            <w:shd w:val="clear" w:color="auto" w:fill="D9D9D9"/>
          </w:tcPr>
          <w:p w14:paraId="50EF1FB2" w14:textId="6DB5289A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12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14:paraId="009FCE61" w14:textId="63C175B2" w:rsidR="00DD13B4" w:rsidRPr="007A272C" w:rsidRDefault="00D12A0A" w:rsidP="007A272C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10</w:t>
            </w:r>
          </w:p>
        </w:tc>
      </w:tr>
      <w:tr w:rsidR="00DD13B4" w:rsidRPr="00FC4078" w14:paraId="34750088" w14:textId="77777777" w:rsidTr="002B39BB">
        <w:tc>
          <w:tcPr>
            <w:tcW w:w="788" w:type="pct"/>
            <w:vMerge w:val="restart"/>
            <w:shd w:val="clear" w:color="auto" w:fill="D9D9D9"/>
          </w:tcPr>
          <w:p w14:paraId="79DAC4A5" w14:textId="7EA14A30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  <w:r w:rsidRPr="00DD13B4">
              <w:rPr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2160" w:type="pct"/>
            <w:shd w:val="clear" w:color="auto" w:fill="D9D9D9"/>
          </w:tcPr>
          <w:p w14:paraId="58B6F2A3" w14:textId="3DAB1F1A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 xml:space="preserve">Organisational structure </w:t>
            </w:r>
          </w:p>
        </w:tc>
        <w:tc>
          <w:tcPr>
            <w:tcW w:w="1192" w:type="pct"/>
            <w:shd w:val="clear" w:color="auto" w:fill="D9D9D9"/>
          </w:tcPr>
          <w:p w14:paraId="7D874B6D" w14:textId="68D4FA6A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14:paraId="4A658A3C" w14:textId="5DB8F7AA" w:rsidR="00DD13B4" w:rsidRPr="007A272C" w:rsidRDefault="00D12A0A" w:rsidP="007A272C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14</w:t>
            </w:r>
          </w:p>
        </w:tc>
      </w:tr>
      <w:tr w:rsidR="00DD13B4" w:rsidRPr="00FC4078" w14:paraId="36843C9B" w14:textId="77777777" w:rsidTr="002B39BB">
        <w:tc>
          <w:tcPr>
            <w:tcW w:w="788" w:type="pct"/>
            <w:vMerge/>
            <w:shd w:val="clear" w:color="auto" w:fill="D9D9D9"/>
          </w:tcPr>
          <w:p w14:paraId="3CE93D69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5AE5C13B" w14:textId="0A15DB81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Executive management</w:t>
            </w:r>
          </w:p>
        </w:tc>
        <w:tc>
          <w:tcPr>
            <w:tcW w:w="1192" w:type="pct"/>
            <w:shd w:val="clear" w:color="auto" w:fill="D9D9D9"/>
          </w:tcPr>
          <w:p w14:paraId="3B32D757" w14:textId="0392AB80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977D5F">
              <w:rPr>
                <w:sz w:val="16"/>
                <w:szCs w:val="16"/>
              </w:rPr>
              <w:t>.2</w:t>
            </w:r>
          </w:p>
        </w:tc>
        <w:tc>
          <w:tcPr>
            <w:tcW w:w="859" w:type="pct"/>
            <w:shd w:val="clear" w:color="auto" w:fill="D9D9D9"/>
          </w:tcPr>
          <w:p w14:paraId="287BF574" w14:textId="5066C37C" w:rsidR="00DD13B4" w:rsidRPr="007A272C" w:rsidRDefault="00D12A0A" w:rsidP="007A272C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44</w:t>
            </w:r>
          </w:p>
        </w:tc>
      </w:tr>
      <w:tr w:rsidR="00DD13B4" w:rsidRPr="00FC4078" w14:paraId="0580BE0C" w14:textId="77777777" w:rsidTr="002B39BB">
        <w:tc>
          <w:tcPr>
            <w:tcW w:w="788" w:type="pct"/>
            <w:vMerge/>
            <w:shd w:val="clear" w:color="auto" w:fill="D9D9D9"/>
          </w:tcPr>
          <w:p w14:paraId="5ACC4261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691B694A" w14:textId="3707792C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Government bodies (statutory bodies and other entities)</w:t>
            </w:r>
          </w:p>
        </w:tc>
        <w:tc>
          <w:tcPr>
            <w:tcW w:w="1192" w:type="pct"/>
            <w:shd w:val="clear" w:color="auto" w:fill="D9D9D9"/>
          </w:tcPr>
          <w:p w14:paraId="5BA324DB" w14:textId="34C06A45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</w:t>
            </w:r>
            <w:r>
              <w:rPr>
                <w:sz w:val="16"/>
                <w:szCs w:val="16"/>
              </w:rPr>
              <w:t xml:space="preserve"> 13</w:t>
            </w:r>
            <w:r w:rsidRPr="00E522C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9" w:type="pct"/>
            <w:shd w:val="clear" w:color="auto" w:fill="D9D9D9"/>
          </w:tcPr>
          <w:p w14:paraId="1CC9D1C2" w14:textId="123A4B8A" w:rsidR="00DD13B4" w:rsidRPr="00D12A0A" w:rsidRDefault="00D12A0A" w:rsidP="000B4487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D12A0A">
              <w:rPr>
                <w:sz w:val="16"/>
              </w:rPr>
              <w:t xml:space="preserve">Page </w:t>
            </w:r>
            <w:r w:rsidR="000B4487">
              <w:rPr>
                <w:sz w:val="16"/>
              </w:rPr>
              <w:t>95</w:t>
            </w:r>
          </w:p>
        </w:tc>
      </w:tr>
      <w:tr w:rsidR="00DD13B4" w:rsidRPr="00FC4078" w14:paraId="22007F47" w14:textId="77777777" w:rsidTr="002B39BB">
        <w:tc>
          <w:tcPr>
            <w:tcW w:w="788" w:type="pct"/>
            <w:vMerge/>
            <w:shd w:val="clear" w:color="auto" w:fill="D9D9D9"/>
          </w:tcPr>
          <w:p w14:paraId="77CDDFC7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300EDDBD" w14:textId="081F8F2D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i/>
                <w:sz w:val="16"/>
                <w:szCs w:val="16"/>
              </w:rPr>
              <w:t>Public Sector Ethics Act 1994</w:t>
            </w:r>
          </w:p>
        </w:tc>
        <w:tc>
          <w:tcPr>
            <w:tcW w:w="1192" w:type="pct"/>
            <w:shd w:val="clear" w:color="auto" w:fill="D9D9D9"/>
          </w:tcPr>
          <w:p w14:paraId="3DC476A8" w14:textId="77777777" w:rsidR="00DD13B4" w:rsidRPr="00F544D1" w:rsidRDefault="00DD13B4" w:rsidP="00F544D1">
            <w:pPr>
              <w:pStyle w:val="ARTablecopy"/>
              <w:spacing w:after="120"/>
              <w:rPr>
                <w:i/>
                <w:sz w:val="16"/>
              </w:rPr>
            </w:pPr>
            <w:r w:rsidRPr="00F544D1">
              <w:rPr>
                <w:i/>
                <w:sz w:val="16"/>
              </w:rPr>
              <w:t>Public Sector Ethics Act 1994</w:t>
            </w:r>
          </w:p>
          <w:p w14:paraId="455D6CA8" w14:textId="3508E58C" w:rsidR="00DD13B4" w:rsidRPr="00E522CB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977D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9" w:type="pct"/>
            <w:shd w:val="clear" w:color="auto" w:fill="D9D9D9"/>
          </w:tcPr>
          <w:p w14:paraId="2C1E506F" w14:textId="69A6855F" w:rsidR="00DD13B4" w:rsidRPr="00D12A0A" w:rsidRDefault="00D12A0A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48</w:t>
            </w:r>
          </w:p>
        </w:tc>
      </w:tr>
      <w:tr w:rsidR="00DD13B4" w:rsidRPr="00FC4078" w14:paraId="41E9C4D8" w14:textId="77777777" w:rsidTr="002B39BB">
        <w:tc>
          <w:tcPr>
            <w:tcW w:w="788" w:type="pct"/>
            <w:vMerge/>
            <w:shd w:val="clear" w:color="auto" w:fill="D9D9D9"/>
          </w:tcPr>
          <w:p w14:paraId="38D5F59D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033C536B" w14:textId="403170A7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i/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Queensland public service values</w:t>
            </w:r>
          </w:p>
        </w:tc>
        <w:tc>
          <w:tcPr>
            <w:tcW w:w="1192" w:type="pct"/>
            <w:shd w:val="clear" w:color="auto" w:fill="D9D9D9"/>
          </w:tcPr>
          <w:p w14:paraId="3C58D902" w14:textId="43BB9CDF" w:rsidR="00DD13B4" w:rsidRPr="00EC1FCD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E522C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9" w:type="pct"/>
            <w:shd w:val="clear" w:color="auto" w:fill="D9D9D9"/>
          </w:tcPr>
          <w:p w14:paraId="3789F0DB" w14:textId="14A02543" w:rsidR="00DD13B4" w:rsidRPr="00D12A0A" w:rsidRDefault="00D12A0A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48</w:t>
            </w:r>
          </w:p>
        </w:tc>
      </w:tr>
      <w:tr w:rsidR="00DD13B4" w:rsidRPr="00FC4078" w14:paraId="12FF76B8" w14:textId="77777777" w:rsidTr="002B39BB">
        <w:tc>
          <w:tcPr>
            <w:tcW w:w="788" w:type="pct"/>
            <w:vMerge w:val="restart"/>
            <w:shd w:val="clear" w:color="auto" w:fill="D9D9D9"/>
          </w:tcPr>
          <w:p w14:paraId="69A1C3B4" w14:textId="0A3FFA08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  <w:r w:rsidRPr="00DD13B4">
              <w:rPr>
                <w:bCs/>
                <w:sz w:val="16"/>
                <w:szCs w:val="16"/>
              </w:rPr>
              <w:t>Governance – risk management and accountability</w:t>
            </w:r>
          </w:p>
        </w:tc>
        <w:tc>
          <w:tcPr>
            <w:tcW w:w="2160" w:type="pct"/>
            <w:shd w:val="clear" w:color="auto" w:fill="D9D9D9"/>
          </w:tcPr>
          <w:p w14:paraId="7DDDB038" w14:textId="12B2D648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Risk management</w:t>
            </w:r>
          </w:p>
        </w:tc>
        <w:tc>
          <w:tcPr>
            <w:tcW w:w="1192" w:type="pct"/>
            <w:shd w:val="clear" w:color="auto" w:fill="D9D9D9"/>
          </w:tcPr>
          <w:p w14:paraId="3CBE60C3" w14:textId="71D345D2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14.1</w:t>
            </w:r>
          </w:p>
        </w:tc>
        <w:tc>
          <w:tcPr>
            <w:tcW w:w="859" w:type="pct"/>
            <w:shd w:val="clear" w:color="auto" w:fill="D9D9D9"/>
          </w:tcPr>
          <w:p w14:paraId="6E92DB99" w14:textId="0148FACA" w:rsidR="00DD13B4" w:rsidRPr="00D12A0A" w:rsidRDefault="00D12A0A" w:rsidP="00CD5797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</w:t>
            </w:r>
            <w:r w:rsidR="00CD5797">
              <w:rPr>
                <w:sz w:val="16"/>
              </w:rPr>
              <w:t>8</w:t>
            </w:r>
          </w:p>
        </w:tc>
      </w:tr>
      <w:tr w:rsidR="00DD13B4" w:rsidRPr="00FC4078" w14:paraId="2C0A5D06" w14:textId="77777777" w:rsidTr="002B39BB">
        <w:tc>
          <w:tcPr>
            <w:tcW w:w="788" w:type="pct"/>
            <w:vMerge/>
            <w:shd w:val="clear" w:color="auto" w:fill="D9D9D9"/>
          </w:tcPr>
          <w:p w14:paraId="04BD4DAB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6D593ECF" w14:textId="249F6EA5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Audit committee</w:t>
            </w:r>
          </w:p>
        </w:tc>
        <w:tc>
          <w:tcPr>
            <w:tcW w:w="1192" w:type="pct"/>
            <w:shd w:val="clear" w:color="auto" w:fill="D9D9D9"/>
          </w:tcPr>
          <w:p w14:paraId="13CB730E" w14:textId="13648404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14.2</w:t>
            </w:r>
          </w:p>
        </w:tc>
        <w:tc>
          <w:tcPr>
            <w:tcW w:w="859" w:type="pct"/>
            <w:shd w:val="clear" w:color="auto" w:fill="D9D9D9"/>
          </w:tcPr>
          <w:p w14:paraId="7F098A44" w14:textId="67EEA773" w:rsidR="00DD13B4" w:rsidRPr="00D12A0A" w:rsidRDefault="00D12A0A" w:rsidP="000B4487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 xml:space="preserve">Pages </w:t>
            </w:r>
            <w:r w:rsidR="000B4487">
              <w:rPr>
                <w:sz w:val="16"/>
              </w:rPr>
              <w:t xml:space="preserve">49 </w:t>
            </w:r>
            <w:r>
              <w:rPr>
                <w:sz w:val="16"/>
              </w:rPr>
              <w:t xml:space="preserve">and </w:t>
            </w:r>
            <w:r w:rsidR="000B4487">
              <w:rPr>
                <w:sz w:val="16"/>
              </w:rPr>
              <w:t>100-101</w:t>
            </w:r>
          </w:p>
        </w:tc>
      </w:tr>
      <w:tr w:rsidR="00DD13B4" w:rsidRPr="00FC4078" w14:paraId="587FDAB9" w14:textId="77777777" w:rsidTr="002B39BB">
        <w:tc>
          <w:tcPr>
            <w:tcW w:w="788" w:type="pct"/>
            <w:vMerge/>
            <w:shd w:val="clear" w:color="auto" w:fill="D9D9D9"/>
          </w:tcPr>
          <w:p w14:paraId="4DCC435D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304130E3" w14:textId="3BF6E065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Internal audit</w:t>
            </w:r>
          </w:p>
        </w:tc>
        <w:tc>
          <w:tcPr>
            <w:tcW w:w="1192" w:type="pct"/>
            <w:shd w:val="clear" w:color="auto" w:fill="D9D9D9"/>
          </w:tcPr>
          <w:p w14:paraId="4FFD2FBC" w14:textId="090B5FD5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14.3</w:t>
            </w:r>
          </w:p>
        </w:tc>
        <w:tc>
          <w:tcPr>
            <w:tcW w:w="859" w:type="pct"/>
            <w:shd w:val="clear" w:color="auto" w:fill="D9D9D9"/>
          </w:tcPr>
          <w:p w14:paraId="3F1D0CC6" w14:textId="5C481979" w:rsidR="00DD13B4" w:rsidRPr="00D12A0A" w:rsidRDefault="00CD5797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49</w:t>
            </w:r>
            <w:r w:rsidR="008A38AD">
              <w:rPr>
                <w:sz w:val="16"/>
              </w:rPr>
              <w:t xml:space="preserve"> and 95</w:t>
            </w:r>
          </w:p>
        </w:tc>
      </w:tr>
      <w:tr w:rsidR="00DD13B4" w:rsidRPr="00FC4078" w14:paraId="1780D1E5" w14:textId="77777777" w:rsidTr="002B39BB">
        <w:tc>
          <w:tcPr>
            <w:tcW w:w="788" w:type="pct"/>
            <w:vMerge/>
            <w:shd w:val="clear" w:color="auto" w:fill="D9D9D9"/>
          </w:tcPr>
          <w:p w14:paraId="72D7FECB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63569852" w14:textId="4400F317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External scrutiny</w:t>
            </w:r>
          </w:p>
        </w:tc>
        <w:tc>
          <w:tcPr>
            <w:tcW w:w="1192" w:type="pct"/>
            <w:shd w:val="clear" w:color="auto" w:fill="D9D9D9"/>
          </w:tcPr>
          <w:p w14:paraId="0C1E7542" w14:textId="737A9C55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</w:t>
            </w:r>
            <w:r w:rsidRPr="00977D5F">
              <w:rPr>
                <w:sz w:val="16"/>
                <w:szCs w:val="16"/>
              </w:rPr>
              <w:t>.4</w:t>
            </w:r>
          </w:p>
        </w:tc>
        <w:tc>
          <w:tcPr>
            <w:tcW w:w="859" w:type="pct"/>
            <w:shd w:val="clear" w:color="auto" w:fill="D9D9D9"/>
          </w:tcPr>
          <w:p w14:paraId="078514EF" w14:textId="4A45681C" w:rsidR="00DD13B4" w:rsidRPr="00D12A0A" w:rsidRDefault="00CD5797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49</w:t>
            </w:r>
          </w:p>
        </w:tc>
      </w:tr>
      <w:tr w:rsidR="00DD13B4" w:rsidRPr="00FC4078" w14:paraId="49C36D15" w14:textId="77777777" w:rsidTr="002B39BB">
        <w:tc>
          <w:tcPr>
            <w:tcW w:w="788" w:type="pct"/>
            <w:vMerge/>
            <w:shd w:val="clear" w:color="auto" w:fill="D9D9D9"/>
          </w:tcPr>
          <w:p w14:paraId="08A6D4E2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03419AFA" w14:textId="693CA760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Information systems and recordkeeping</w:t>
            </w:r>
          </w:p>
        </w:tc>
        <w:tc>
          <w:tcPr>
            <w:tcW w:w="1192" w:type="pct"/>
            <w:shd w:val="clear" w:color="auto" w:fill="D9D9D9"/>
          </w:tcPr>
          <w:p w14:paraId="06E31721" w14:textId="56EE0B87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</w:t>
            </w:r>
            <w:r w:rsidRPr="00E522CB">
              <w:rPr>
                <w:sz w:val="16"/>
                <w:szCs w:val="16"/>
              </w:rPr>
              <w:t>.5</w:t>
            </w:r>
          </w:p>
        </w:tc>
        <w:tc>
          <w:tcPr>
            <w:tcW w:w="859" w:type="pct"/>
            <w:shd w:val="clear" w:color="auto" w:fill="D9D9D9"/>
          </w:tcPr>
          <w:p w14:paraId="50FB0A35" w14:textId="23D85E25" w:rsidR="00DD13B4" w:rsidRPr="00D12A0A" w:rsidRDefault="00CD5797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53</w:t>
            </w:r>
          </w:p>
        </w:tc>
      </w:tr>
      <w:tr w:rsidR="00DD13B4" w:rsidRPr="00FC4078" w14:paraId="259B8A53" w14:textId="77777777" w:rsidTr="002B39BB">
        <w:tc>
          <w:tcPr>
            <w:tcW w:w="788" w:type="pct"/>
            <w:shd w:val="clear" w:color="auto" w:fill="D9D9D9"/>
          </w:tcPr>
          <w:p w14:paraId="7241F941" w14:textId="73AEDB16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  <w:r w:rsidRPr="00DD13B4">
              <w:rPr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2160" w:type="pct"/>
            <w:shd w:val="clear" w:color="auto" w:fill="D9D9D9"/>
          </w:tcPr>
          <w:p w14:paraId="68042686" w14:textId="7FA6E53A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Strategic workforce planning and performance</w:t>
            </w:r>
          </w:p>
        </w:tc>
        <w:tc>
          <w:tcPr>
            <w:tcW w:w="1192" w:type="pct"/>
            <w:shd w:val="clear" w:color="auto" w:fill="D9D9D9"/>
          </w:tcPr>
          <w:p w14:paraId="0246E2E3" w14:textId="40B4D922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</w:t>
            </w:r>
            <w:r w:rsidRPr="00E522CB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14:paraId="747AC9C5" w14:textId="12A75911" w:rsidR="00DD13B4" w:rsidRPr="00D12A0A" w:rsidRDefault="00CD5797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51</w:t>
            </w:r>
          </w:p>
        </w:tc>
      </w:tr>
      <w:tr w:rsidR="00DD13B4" w:rsidRPr="00FC4078" w14:paraId="31ECB486" w14:textId="77777777" w:rsidTr="002B39BB">
        <w:tc>
          <w:tcPr>
            <w:tcW w:w="788" w:type="pct"/>
            <w:shd w:val="clear" w:color="auto" w:fill="D9D9D9"/>
          </w:tcPr>
          <w:p w14:paraId="3275CC98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6C36B124" w14:textId="60D6572A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Early retirement, redundancy and retrenchment</w:t>
            </w:r>
          </w:p>
        </w:tc>
        <w:tc>
          <w:tcPr>
            <w:tcW w:w="1192" w:type="pct"/>
            <w:shd w:val="clear" w:color="auto" w:fill="D9D9D9"/>
          </w:tcPr>
          <w:p w14:paraId="19DAC1F9" w14:textId="77777777" w:rsidR="00DD13B4" w:rsidRPr="00F544D1" w:rsidRDefault="00DD13B4" w:rsidP="00F544D1">
            <w:pPr>
              <w:pStyle w:val="ARTablecopy"/>
              <w:spacing w:after="120"/>
              <w:rPr>
                <w:i/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 xml:space="preserve">Directive No.11/12 </w:t>
            </w:r>
            <w:r w:rsidRPr="00F544D1">
              <w:rPr>
                <w:i/>
                <w:sz w:val="16"/>
                <w:szCs w:val="16"/>
              </w:rPr>
              <w:t>Early Retirement, Redundancy and Retrenchment</w:t>
            </w:r>
          </w:p>
          <w:p w14:paraId="78502D85" w14:textId="77777777" w:rsidR="00DD13B4" w:rsidRPr="00F544D1" w:rsidRDefault="00DD13B4" w:rsidP="00F544D1">
            <w:pPr>
              <w:pStyle w:val="ARTablecopy"/>
              <w:spacing w:after="120"/>
              <w:rPr>
                <w:i/>
                <w:sz w:val="16"/>
                <w:szCs w:val="16"/>
              </w:rPr>
            </w:pPr>
            <w:r w:rsidRPr="00710057">
              <w:rPr>
                <w:sz w:val="16"/>
                <w:szCs w:val="16"/>
              </w:rPr>
              <w:t xml:space="preserve">Directive No.16/16 </w:t>
            </w:r>
            <w:r w:rsidRPr="00F544D1">
              <w:rPr>
                <w:i/>
                <w:sz w:val="16"/>
                <w:szCs w:val="16"/>
              </w:rPr>
              <w:t>Early Retirement, Redundancy and Retrenchment (from 20 May 2016)</w:t>
            </w:r>
          </w:p>
          <w:p w14:paraId="0936AEB0" w14:textId="36EF2CC5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</w:t>
            </w:r>
            <w:r w:rsidRPr="00E522CB">
              <w:rPr>
                <w:sz w:val="16"/>
                <w:szCs w:val="16"/>
              </w:rPr>
              <w:t>.2</w:t>
            </w:r>
          </w:p>
        </w:tc>
        <w:tc>
          <w:tcPr>
            <w:tcW w:w="859" w:type="pct"/>
            <w:shd w:val="clear" w:color="auto" w:fill="D9D9D9"/>
          </w:tcPr>
          <w:p w14:paraId="11D84C1D" w14:textId="64699DC3" w:rsidR="00DD13B4" w:rsidRPr="00D12A0A" w:rsidRDefault="00CD5797" w:rsidP="00D12A0A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52</w:t>
            </w:r>
          </w:p>
        </w:tc>
      </w:tr>
      <w:tr w:rsidR="00DD13B4" w:rsidRPr="00FC4078" w14:paraId="72641681" w14:textId="77777777" w:rsidTr="002B39BB">
        <w:tc>
          <w:tcPr>
            <w:tcW w:w="788" w:type="pct"/>
            <w:vMerge w:val="restart"/>
            <w:shd w:val="clear" w:color="auto" w:fill="D9D9D9"/>
          </w:tcPr>
          <w:p w14:paraId="4620D5BA" w14:textId="44630954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  <w:r w:rsidRPr="00DD13B4">
              <w:rPr>
                <w:bCs/>
                <w:sz w:val="16"/>
              </w:rPr>
              <w:t>Open Data</w:t>
            </w:r>
          </w:p>
        </w:tc>
        <w:tc>
          <w:tcPr>
            <w:tcW w:w="2160" w:type="pct"/>
            <w:shd w:val="clear" w:color="auto" w:fill="D9D9D9"/>
          </w:tcPr>
          <w:p w14:paraId="74B41A08" w14:textId="09AE3695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Statement advising publication of information</w:t>
            </w:r>
          </w:p>
        </w:tc>
        <w:tc>
          <w:tcPr>
            <w:tcW w:w="1192" w:type="pct"/>
            <w:shd w:val="clear" w:color="auto" w:fill="D9D9D9"/>
          </w:tcPr>
          <w:p w14:paraId="3C57A077" w14:textId="7B709591" w:rsidR="00DD13B4" w:rsidRPr="00E522CB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ARRs </w:t>
            </w:r>
            <w:r w:rsidRPr="00E522CB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section 16</w:t>
            </w:r>
          </w:p>
        </w:tc>
        <w:tc>
          <w:tcPr>
            <w:tcW w:w="859" w:type="pct"/>
            <w:shd w:val="clear" w:color="auto" w:fill="D9D9D9"/>
          </w:tcPr>
          <w:p w14:paraId="08B3BCF1" w14:textId="57711B6E" w:rsidR="00DD13B4" w:rsidRDefault="00224F58" w:rsidP="00224F58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224F58">
              <w:rPr>
                <w:sz w:val="16"/>
              </w:rPr>
              <w:t>Page</w:t>
            </w:r>
            <w:r>
              <w:rPr>
                <w:sz w:val="16"/>
                <w:szCs w:val="16"/>
              </w:rPr>
              <w:t xml:space="preserve"> 2</w:t>
            </w:r>
          </w:p>
        </w:tc>
      </w:tr>
      <w:tr w:rsidR="00DD13B4" w:rsidRPr="00FC4078" w14:paraId="319F4B9F" w14:textId="77777777" w:rsidTr="002B39BB">
        <w:tc>
          <w:tcPr>
            <w:tcW w:w="788" w:type="pct"/>
            <w:vMerge/>
            <w:shd w:val="clear" w:color="auto" w:fill="D9D9D9"/>
          </w:tcPr>
          <w:p w14:paraId="43212B86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6A8F8354" w14:textId="4724F119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 xml:space="preserve">Consultancies </w:t>
            </w:r>
          </w:p>
        </w:tc>
        <w:tc>
          <w:tcPr>
            <w:tcW w:w="1192" w:type="pct"/>
            <w:shd w:val="clear" w:color="auto" w:fill="D9D9D9"/>
          </w:tcPr>
          <w:p w14:paraId="1EAE0A94" w14:textId="6F4219DB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33</w:t>
            </w:r>
            <w:r w:rsidRPr="00E522CB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14:paraId="15D89A2C" w14:textId="55E6D53A" w:rsidR="00DD13B4" w:rsidRDefault="00DD13B4" w:rsidP="00DD13B4">
            <w:pPr>
              <w:pStyle w:val="ARTablecopy"/>
              <w:rPr>
                <w:sz w:val="16"/>
                <w:szCs w:val="16"/>
              </w:rPr>
            </w:pPr>
            <w:r w:rsidRPr="005909F7">
              <w:rPr>
                <w:rStyle w:val="Hyperlink"/>
                <w:sz w:val="12"/>
                <w:szCs w:val="12"/>
              </w:rPr>
              <w:t>https://data.qld.gov.au</w:t>
            </w:r>
          </w:p>
        </w:tc>
      </w:tr>
      <w:tr w:rsidR="00DD13B4" w:rsidRPr="00FC4078" w14:paraId="3A5C0B59" w14:textId="77777777" w:rsidTr="002B39BB">
        <w:tc>
          <w:tcPr>
            <w:tcW w:w="788" w:type="pct"/>
            <w:vMerge/>
            <w:shd w:val="clear" w:color="auto" w:fill="D9D9D9"/>
          </w:tcPr>
          <w:p w14:paraId="2A4B5AAB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27E209F2" w14:textId="782C3B02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Overseas travel</w:t>
            </w:r>
          </w:p>
        </w:tc>
        <w:tc>
          <w:tcPr>
            <w:tcW w:w="1192" w:type="pct"/>
            <w:shd w:val="clear" w:color="auto" w:fill="D9D9D9"/>
          </w:tcPr>
          <w:p w14:paraId="25A448C1" w14:textId="53E0A839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33</w:t>
            </w:r>
            <w:r w:rsidRPr="00E522CB">
              <w:rPr>
                <w:sz w:val="16"/>
                <w:szCs w:val="16"/>
              </w:rPr>
              <w:t>.2</w:t>
            </w:r>
          </w:p>
        </w:tc>
        <w:tc>
          <w:tcPr>
            <w:tcW w:w="859" w:type="pct"/>
            <w:shd w:val="clear" w:color="auto" w:fill="D9D9D9"/>
          </w:tcPr>
          <w:p w14:paraId="2A87E4AA" w14:textId="6CA26D25" w:rsidR="00DD13B4" w:rsidRPr="005909F7" w:rsidRDefault="00DD13B4" w:rsidP="00DD13B4">
            <w:pPr>
              <w:pStyle w:val="ARTablecopy"/>
              <w:rPr>
                <w:rStyle w:val="Hyperlink"/>
                <w:sz w:val="12"/>
                <w:szCs w:val="12"/>
              </w:rPr>
            </w:pPr>
            <w:r w:rsidRPr="005909F7">
              <w:rPr>
                <w:rStyle w:val="Hyperlink"/>
                <w:sz w:val="12"/>
                <w:szCs w:val="12"/>
              </w:rPr>
              <w:t>https://data.qld.gov.au</w:t>
            </w:r>
          </w:p>
        </w:tc>
      </w:tr>
      <w:tr w:rsidR="00DD13B4" w:rsidRPr="00FC4078" w14:paraId="24830A35" w14:textId="77777777" w:rsidTr="002B39BB">
        <w:tc>
          <w:tcPr>
            <w:tcW w:w="788" w:type="pct"/>
            <w:vMerge/>
            <w:shd w:val="clear" w:color="auto" w:fill="D9D9D9"/>
          </w:tcPr>
          <w:p w14:paraId="5463FA58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1A87F1C4" w14:textId="522B4A8D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Queensland Language Services Policy</w:t>
            </w:r>
          </w:p>
        </w:tc>
        <w:tc>
          <w:tcPr>
            <w:tcW w:w="1192" w:type="pct"/>
            <w:shd w:val="clear" w:color="auto" w:fill="D9D9D9"/>
          </w:tcPr>
          <w:p w14:paraId="6C529FFA" w14:textId="61D7DF02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33</w:t>
            </w:r>
            <w:r w:rsidRPr="00E522CB">
              <w:rPr>
                <w:sz w:val="16"/>
                <w:szCs w:val="16"/>
              </w:rPr>
              <w:t>.3</w:t>
            </w:r>
          </w:p>
        </w:tc>
        <w:tc>
          <w:tcPr>
            <w:tcW w:w="859" w:type="pct"/>
            <w:shd w:val="clear" w:color="auto" w:fill="D9D9D9"/>
          </w:tcPr>
          <w:p w14:paraId="38D0275E" w14:textId="31933D20" w:rsidR="00DD13B4" w:rsidRPr="005909F7" w:rsidRDefault="00DD13B4" w:rsidP="00DD13B4">
            <w:pPr>
              <w:pStyle w:val="ARTablecopy"/>
              <w:rPr>
                <w:rStyle w:val="Hyperlink"/>
                <w:sz w:val="12"/>
                <w:szCs w:val="12"/>
              </w:rPr>
            </w:pPr>
            <w:r w:rsidRPr="005909F7">
              <w:rPr>
                <w:rStyle w:val="Hyperlink"/>
                <w:sz w:val="12"/>
                <w:szCs w:val="12"/>
              </w:rPr>
              <w:t>https://data.qld.gov.au</w:t>
            </w:r>
          </w:p>
        </w:tc>
      </w:tr>
      <w:tr w:rsidR="00DD13B4" w:rsidRPr="00FC4078" w14:paraId="2BA4C7BB" w14:textId="77777777" w:rsidTr="002B39BB">
        <w:tc>
          <w:tcPr>
            <w:tcW w:w="788" w:type="pct"/>
            <w:vMerge w:val="restart"/>
            <w:shd w:val="clear" w:color="auto" w:fill="D9D9D9"/>
          </w:tcPr>
          <w:p w14:paraId="425D6FE6" w14:textId="4709D428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  <w:r w:rsidRPr="00DD13B4">
              <w:rPr>
                <w:bCs/>
                <w:sz w:val="16"/>
              </w:rPr>
              <w:t>Financial statements</w:t>
            </w:r>
          </w:p>
        </w:tc>
        <w:tc>
          <w:tcPr>
            <w:tcW w:w="2160" w:type="pct"/>
            <w:shd w:val="clear" w:color="auto" w:fill="D9D9D9"/>
          </w:tcPr>
          <w:p w14:paraId="159A9DCE" w14:textId="6C6E75F5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Certification of financial statements</w:t>
            </w:r>
          </w:p>
        </w:tc>
        <w:tc>
          <w:tcPr>
            <w:tcW w:w="1192" w:type="pct"/>
            <w:shd w:val="clear" w:color="auto" w:fill="D9D9D9"/>
          </w:tcPr>
          <w:p w14:paraId="64B02AA4" w14:textId="77777777" w:rsidR="00DD13B4" w:rsidRPr="00EC1FCD" w:rsidRDefault="00DD13B4" w:rsidP="00EC1FCD">
            <w:pPr>
              <w:pStyle w:val="ARTablecopy"/>
              <w:spacing w:after="120"/>
              <w:rPr>
                <w:sz w:val="16"/>
              </w:rPr>
            </w:pPr>
            <w:r w:rsidRPr="00EC1FCD">
              <w:rPr>
                <w:sz w:val="16"/>
              </w:rPr>
              <w:t>FAA – section 62</w:t>
            </w:r>
          </w:p>
          <w:p w14:paraId="5560D27C" w14:textId="77777777" w:rsidR="00DD13B4" w:rsidRPr="00EC1FCD" w:rsidRDefault="00DD13B4" w:rsidP="00EC1FCD">
            <w:pPr>
              <w:pStyle w:val="ARTablecopy"/>
              <w:spacing w:after="120"/>
              <w:rPr>
                <w:sz w:val="16"/>
              </w:rPr>
            </w:pPr>
            <w:r w:rsidRPr="00EC1FCD">
              <w:rPr>
                <w:sz w:val="16"/>
              </w:rPr>
              <w:t>FPMS – sections 42, 43 and 50</w:t>
            </w:r>
          </w:p>
          <w:p w14:paraId="67A493BE" w14:textId="7E77B104" w:rsidR="00DD13B4" w:rsidRDefault="00DD13B4" w:rsidP="00EC1FCD">
            <w:pPr>
              <w:pStyle w:val="ARTablecopy"/>
              <w:rPr>
                <w:sz w:val="16"/>
                <w:szCs w:val="16"/>
              </w:rPr>
            </w:pPr>
            <w:r w:rsidRPr="00EC1FCD">
              <w:rPr>
                <w:sz w:val="16"/>
                <w:szCs w:val="16"/>
              </w:rPr>
              <w:t>ARRs – section 17.1</w:t>
            </w:r>
          </w:p>
        </w:tc>
        <w:tc>
          <w:tcPr>
            <w:tcW w:w="859" w:type="pct"/>
            <w:shd w:val="clear" w:color="auto" w:fill="D9D9D9"/>
          </w:tcPr>
          <w:p w14:paraId="2FC4CACC" w14:textId="08C4DB44" w:rsidR="00DD13B4" w:rsidRPr="00224F58" w:rsidRDefault="00224F58" w:rsidP="00224F58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224F58">
              <w:rPr>
                <w:sz w:val="16"/>
              </w:rPr>
              <w:t>Page 87</w:t>
            </w:r>
          </w:p>
        </w:tc>
      </w:tr>
      <w:tr w:rsidR="00DD13B4" w:rsidRPr="00FC4078" w14:paraId="2F8A9C6A" w14:textId="77777777" w:rsidTr="002B39BB">
        <w:tc>
          <w:tcPr>
            <w:tcW w:w="788" w:type="pct"/>
            <w:vMerge/>
            <w:shd w:val="clear" w:color="auto" w:fill="D9D9D9"/>
          </w:tcPr>
          <w:p w14:paraId="7C9DB22E" w14:textId="77777777" w:rsidR="00DD13B4" w:rsidRPr="00DD13B4" w:rsidRDefault="00DD13B4" w:rsidP="00DD13B4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14:paraId="48C98D90" w14:textId="739F4D4B" w:rsidR="00DD13B4" w:rsidRPr="00DD13B4" w:rsidRDefault="00DD13B4" w:rsidP="00EF66BD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Independent Auditor’s Report</w:t>
            </w:r>
          </w:p>
        </w:tc>
        <w:tc>
          <w:tcPr>
            <w:tcW w:w="1192" w:type="pct"/>
            <w:shd w:val="clear" w:color="auto" w:fill="D9D9D9"/>
          </w:tcPr>
          <w:p w14:paraId="41653EB1" w14:textId="77777777" w:rsidR="00DD13B4" w:rsidRPr="00EC1FCD" w:rsidRDefault="00DD13B4" w:rsidP="00EC1FCD">
            <w:pPr>
              <w:pStyle w:val="ARTablecopy"/>
              <w:spacing w:after="120"/>
              <w:rPr>
                <w:sz w:val="16"/>
              </w:rPr>
            </w:pPr>
            <w:r w:rsidRPr="00EC1FCD">
              <w:rPr>
                <w:sz w:val="16"/>
              </w:rPr>
              <w:t>FAA – section 62</w:t>
            </w:r>
          </w:p>
          <w:p w14:paraId="6422DD4C" w14:textId="77777777" w:rsidR="00DD13B4" w:rsidRPr="00EC1FCD" w:rsidRDefault="00DD13B4" w:rsidP="00EC1FCD">
            <w:pPr>
              <w:pStyle w:val="ARTablecopy"/>
              <w:spacing w:after="120"/>
              <w:rPr>
                <w:sz w:val="16"/>
              </w:rPr>
            </w:pPr>
            <w:r w:rsidRPr="00EC1FCD">
              <w:rPr>
                <w:sz w:val="16"/>
              </w:rPr>
              <w:t>FPMS – section 50</w:t>
            </w:r>
          </w:p>
          <w:p w14:paraId="7748BB14" w14:textId="28909403" w:rsidR="00DD13B4" w:rsidRPr="00EC1FCD" w:rsidRDefault="00DD13B4" w:rsidP="00EC1FCD">
            <w:pPr>
              <w:pStyle w:val="ARTablecopy"/>
              <w:rPr>
                <w:i/>
                <w:sz w:val="16"/>
              </w:rPr>
            </w:pPr>
            <w:r w:rsidRPr="00EC1FCD">
              <w:rPr>
                <w:sz w:val="16"/>
                <w:szCs w:val="16"/>
              </w:rPr>
              <w:t>ARRs – section 17.2</w:t>
            </w:r>
          </w:p>
        </w:tc>
        <w:tc>
          <w:tcPr>
            <w:tcW w:w="859" w:type="pct"/>
            <w:shd w:val="clear" w:color="auto" w:fill="D9D9D9"/>
          </w:tcPr>
          <w:p w14:paraId="3C3DF271" w14:textId="7315EA9D" w:rsidR="00DD13B4" w:rsidRPr="00076F2C" w:rsidRDefault="00076F2C" w:rsidP="00224F58">
            <w:pPr>
              <w:pStyle w:val="ARTablecopy"/>
              <w:numPr>
                <w:ilvl w:val="0"/>
                <w:numId w:val="11"/>
              </w:numPr>
              <w:ind w:left="317" w:hanging="218"/>
              <w:rPr>
                <w:sz w:val="16"/>
              </w:rPr>
            </w:pPr>
            <w:r w:rsidRPr="00076F2C">
              <w:rPr>
                <w:sz w:val="16"/>
              </w:rPr>
              <w:t>Page 88</w:t>
            </w:r>
          </w:p>
        </w:tc>
      </w:tr>
    </w:tbl>
    <w:p w14:paraId="093DFE5C" w14:textId="17DA87C8" w:rsidR="00DD13B4" w:rsidRPr="002B39BB" w:rsidRDefault="00DD13B4" w:rsidP="002B39BB">
      <w:pPr>
        <w:pStyle w:val="ARheading2maroon"/>
        <w:spacing w:before="80" w:after="80"/>
        <w:rPr>
          <w:sz w:val="24"/>
        </w:rPr>
      </w:pPr>
      <w:r w:rsidRPr="002B39BB">
        <w:rPr>
          <w:sz w:val="24"/>
        </w:rPr>
        <w:t>Abbreviations</w:t>
      </w:r>
    </w:p>
    <w:p w14:paraId="68D9030D" w14:textId="6037EB29" w:rsidR="00C5466C" w:rsidRPr="00256D6A" w:rsidRDefault="00476CA4" w:rsidP="00256D6A">
      <w:pPr>
        <w:pStyle w:val="ARbodycopy"/>
        <w:tabs>
          <w:tab w:val="left" w:pos="993"/>
        </w:tabs>
        <w:rPr>
          <w:sz w:val="18"/>
        </w:rPr>
      </w:pPr>
      <w:r w:rsidRPr="002B39BB">
        <w:rPr>
          <w:sz w:val="18"/>
        </w:rPr>
        <w:t xml:space="preserve">FAA </w:t>
      </w:r>
      <w:r w:rsidRPr="002B39BB">
        <w:rPr>
          <w:sz w:val="18"/>
        </w:rPr>
        <w:tab/>
      </w:r>
      <w:r w:rsidRPr="002B39BB">
        <w:rPr>
          <w:i/>
          <w:sz w:val="18"/>
        </w:rPr>
        <w:t>Financial Accountability Act 2009</w:t>
      </w:r>
      <w:r w:rsidRPr="002B39BB">
        <w:rPr>
          <w:sz w:val="18"/>
        </w:rPr>
        <w:t xml:space="preserve"> </w:t>
      </w:r>
      <w:r w:rsidR="002B39BB" w:rsidRPr="002B39BB">
        <w:rPr>
          <w:sz w:val="18"/>
        </w:rPr>
        <w:br/>
      </w:r>
      <w:r w:rsidRPr="002B39BB">
        <w:rPr>
          <w:sz w:val="18"/>
        </w:rPr>
        <w:t xml:space="preserve">FPMS </w:t>
      </w:r>
      <w:r w:rsidRPr="002B39BB">
        <w:rPr>
          <w:sz w:val="18"/>
        </w:rPr>
        <w:tab/>
      </w:r>
      <w:r w:rsidRPr="002B39BB">
        <w:rPr>
          <w:i/>
          <w:sz w:val="18"/>
        </w:rPr>
        <w:t>Financial and Performance Management Standard 2009</w:t>
      </w:r>
      <w:r w:rsidR="00F544D1" w:rsidRPr="002B39BB">
        <w:rPr>
          <w:sz w:val="18"/>
        </w:rPr>
        <w:tab/>
      </w:r>
      <w:r w:rsidR="002B39BB" w:rsidRPr="002B39BB">
        <w:rPr>
          <w:sz w:val="18"/>
        </w:rPr>
        <w:br/>
      </w:r>
      <w:r w:rsidRPr="002B39BB">
        <w:rPr>
          <w:sz w:val="18"/>
        </w:rPr>
        <w:t>ARRs</w:t>
      </w:r>
      <w:r w:rsidRPr="002B39BB">
        <w:rPr>
          <w:sz w:val="18"/>
        </w:rPr>
        <w:tab/>
      </w:r>
      <w:r w:rsidRPr="002B39BB">
        <w:rPr>
          <w:i/>
          <w:sz w:val="18"/>
        </w:rPr>
        <w:t>Annual report requirements for Queensland Government agencies</w:t>
      </w:r>
    </w:p>
    <w:sectPr w:rsidR="00C5466C" w:rsidRPr="00256D6A" w:rsidSect="00B47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542A" w14:textId="77777777" w:rsidR="000161A6" w:rsidRDefault="000161A6" w:rsidP="00EA3F5F">
      <w:r>
        <w:separator/>
      </w:r>
    </w:p>
  </w:endnote>
  <w:endnote w:type="continuationSeparator" w:id="0">
    <w:p w14:paraId="06122EA9" w14:textId="77777777" w:rsidR="000161A6" w:rsidRDefault="000161A6" w:rsidP="00EA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32187" w14:textId="315D1FCD" w:rsidR="000161A6" w:rsidRDefault="008B54FA">
    <w:pPr>
      <w:pStyle w:val="Footer"/>
    </w:pPr>
    <w:r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 </w:t>
    </w:r>
    <w:r w:rsidR="00256D6A">
      <w:rPr>
        <w:rFonts w:ascii="Arial" w:hAnsi="Arial" w:cs="Arial"/>
        <w:color w:val="000000" w:themeColor="text1"/>
        <w:sz w:val="18"/>
        <w:szCs w:val="18"/>
      </w:rPr>
      <w:t>Appendix 5: Compliance checklist -</w:t>
    </w:r>
    <w:r w:rsidR="00256D6A">
      <w:rPr>
        <w:rFonts w:ascii="Arial" w:hAnsi="Arial" w:cs="Arial"/>
        <w:color w:val="000000" w:themeColor="text1"/>
        <w:sz w:val="18"/>
        <w:szCs w:val="18"/>
      </w:rPr>
      <w:t xml:space="preserve"> </w:t>
    </w:r>
    <w:sdt>
      <w:sdtPr>
        <w:rPr>
          <w:rFonts w:ascii="Arial" w:hAnsi="Arial"/>
          <w:color w:val="AD1C4C"/>
          <w:sz w:val="18"/>
          <w:szCs w:val="18"/>
        </w:rPr>
        <w:alias w:val="Title"/>
        <w:tag w:val=""/>
        <w:id w:val="9676307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56D6A">
          <w:rPr>
            <w:rFonts w:ascii="Arial" w:hAnsi="Arial"/>
            <w:color w:val="AD1C4C"/>
            <w:sz w:val="18"/>
            <w:szCs w:val="18"/>
          </w:rPr>
          <w:t>Department of Child Safety, Youth and Women</w:t>
        </w:r>
      </w:sdtContent>
    </w:sdt>
    <w:r w:rsidR="00256D6A" w:rsidRPr="00D85AC2">
      <w:rPr>
        <w:rFonts w:ascii="Arial" w:hAnsi="Arial" w:cs="Arial"/>
        <w:b/>
        <w:sz w:val="20"/>
        <w:szCs w:val="20"/>
      </w:rPr>
      <w:t xml:space="preserve"> </w:t>
    </w:r>
    <w:r w:rsidR="00256D6A">
      <w:rPr>
        <w:rFonts w:ascii="Arial" w:hAnsi="Arial" w:cs="Arial"/>
        <w:b/>
        <w:sz w:val="20"/>
        <w:szCs w:val="20"/>
      </w:rPr>
      <w:t xml:space="preserve"> </w:t>
    </w:r>
    <w:r w:rsidR="00256D6A" w:rsidRPr="00D85AC2">
      <w:rPr>
        <w:rFonts w:ascii="Arial" w:hAnsi="Arial" w:cs="Arial"/>
        <w:b/>
        <w:sz w:val="20"/>
        <w:szCs w:val="20"/>
      </w:rPr>
      <w:fldChar w:fldCharType="begin"/>
    </w:r>
    <w:r w:rsidR="00256D6A" w:rsidRPr="00D85AC2">
      <w:rPr>
        <w:rFonts w:ascii="Arial" w:hAnsi="Arial" w:cs="Arial"/>
        <w:b/>
        <w:sz w:val="20"/>
        <w:szCs w:val="20"/>
      </w:rPr>
      <w:instrText xml:space="preserve"> PAGE   \* MERGEFORMAT </w:instrText>
    </w:r>
    <w:r w:rsidR="00256D6A" w:rsidRPr="00D85AC2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2</w:t>
    </w:r>
    <w:r w:rsidR="00256D6A" w:rsidRPr="00D85AC2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751068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14:paraId="6B5D56B9" w14:textId="121FEBAC" w:rsidR="000161A6" w:rsidRPr="00E81BF6" w:rsidRDefault="000161A6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>
          <w:t xml:space="preserve">     </w:t>
        </w:r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Annual Report 2017-18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r w:rsidRPr="00B96253">
          <w:rPr>
            <w:caps/>
            <w:color w:val="808080" w:themeColor="background1" w:themeShade="80"/>
            <w:sz w:val="18"/>
            <w:szCs w:val="18"/>
          </w:rPr>
          <w:t>|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00266437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ascii="Arial" w:hAnsi="Arial"/>
                <w:color w:val="AD1C4C"/>
                <w:sz w:val="18"/>
                <w:szCs w:val="18"/>
              </w:rPr>
              <w:t>Department of Child Safety, Youth and Women</w:t>
            </w:r>
          </w:sdtContent>
        </w:sdt>
        <w:r w:rsidRPr="00E81BF6">
          <w:rPr>
            <w:rFonts w:ascii="Arial" w:hAnsi="Arial" w:cs="Arial"/>
            <w:b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sz w:val="20"/>
            <w:szCs w:val="20"/>
          </w:rPr>
          <w:t xml:space="preserve"> </w:t>
        </w:r>
        <w:r w:rsidRPr="00E81BF6">
          <w:rPr>
            <w:rFonts w:ascii="Arial" w:hAnsi="Arial" w:cs="Arial"/>
            <w:b/>
            <w:sz w:val="20"/>
            <w:szCs w:val="20"/>
          </w:rPr>
          <w:fldChar w:fldCharType="begin"/>
        </w:r>
        <w:r w:rsidRPr="00E81BF6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81BF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256D6A">
          <w:rPr>
            <w:rFonts w:ascii="Arial" w:hAnsi="Arial" w:cs="Arial"/>
            <w:b/>
            <w:noProof/>
            <w:sz w:val="20"/>
            <w:szCs w:val="20"/>
          </w:rPr>
          <w:t>3</w:t>
        </w:r>
        <w:r w:rsidRPr="00E81BF6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14E618A8" w14:textId="77777777" w:rsidR="000161A6" w:rsidRDefault="00016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9991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1188E30" w14:textId="69BF465D" w:rsidR="000161A6" w:rsidRPr="00D85AC2" w:rsidRDefault="008B54FA" w:rsidP="00FD04FA">
        <w:pPr>
          <w:pStyle w:val="Footer"/>
          <w:tabs>
            <w:tab w:val="clear" w:pos="8640"/>
            <w:tab w:val="right" w:pos="8498"/>
          </w:tabs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Appendix 5: Compliance checklist -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71441666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ascii="Arial" w:hAnsi="Arial"/>
                <w:color w:val="AD1C4C"/>
                <w:sz w:val="18"/>
                <w:szCs w:val="18"/>
              </w:rPr>
              <w:t>Department of Child Safety, Youth and Women</w:t>
            </w:r>
          </w:sdtContent>
        </w:sdt>
        <w:r w:rsidRPr="00D85AC2">
          <w:rPr>
            <w:rFonts w:ascii="Arial" w:hAnsi="Arial" w:cs="Arial"/>
            <w:b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sz w:val="20"/>
            <w:szCs w:val="20"/>
          </w:rPr>
          <w:t xml:space="preserve"> </w:t>
        </w:r>
        <w:r w:rsidRPr="00D85AC2">
          <w:rPr>
            <w:rFonts w:ascii="Arial" w:hAnsi="Arial" w:cs="Arial"/>
            <w:b/>
            <w:sz w:val="20"/>
            <w:szCs w:val="20"/>
          </w:rPr>
          <w:fldChar w:fldCharType="begin"/>
        </w:r>
        <w:r w:rsidRPr="00D85AC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D85AC2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D85AC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  <w:bookmarkStart w:id="1" w:name="_GoBack" w:displacedByCustomXml="next"/>
      <w:bookmarkEnd w:id="1" w:displacedByCustomXml="next"/>
    </w:sdtContent>
  </w:sdt>
  <w:p w14:paraId="37B38D07" w14:textId="7B9AEA39" w:rsidR="000161A6" w:rsidRDefault="00016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8BD8" w14:textId="77777777" w:rsidR="000161A6" w:rsidRDefault="000161A6" w:rsidP="00EA3F5F">
      <w:r>
        <w:separator/>
      </w:r>
    </w:p>
  </w:footnote>
  <w:footnote w:type="continuationSeparator" w:id="0">
    <w:p w14:paraId="2432ED59" w14:textId="77777777" w:rsidR="000161A6" w:rsidRDefault="000161A6" w:rsidP="00EA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CD66" w14:textId="10BD7A55" w:rsidR="000161A6" w:rsidRDefault="000161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211366CC" wp14:editId="590A38CB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7596000" cy="7848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nual report_2018_LEF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B2452" w14:textId="77777777" w:rsidR="008B54FA" w:rsidRDefault="008B54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BD9C" w14:textId="3000A250" w:rsidR="000161A6" w:rsidRDefault="000161A6" w:rsidP="001B79C4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61DCCD2E" wp14:editId="7831A9A5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7560000" cy="784800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 report_2018_righ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EA35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BE3"/>
    <w:multiLevelType w:val="hybridMultilevel"/>
    <w:tmpl w:val="C37C1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401"/>
    <w:multiLevelType w:val="hybridMultilevel"/>
    <w:tmpl w:val="D79AD2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2293F"/>
    <w:multiLevelType w:val="hybridMultilevel"/>
    <w:tmpl w:val="0F3E1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5713"/>
    <w:multiLevelType w:val="hybridMultilevel"/>
    <w:tmpl w:val="A8401C2A"/>
    <w:lvl w:ilvl="0" w:tplc="E9E69BDE">
      <w:start w:val="1"/>
      <w:numFmt w:val="bullet"/>
      <w:pStyle w:val="ARbullets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2E512454"/>
    <w:multiLevelType w:val="hybridMultilevel"/>
    <w:tmpl w:val="B932237E"/>
    <w:styleLink w:val="ImportedStyle2"/>
    <w:lvl w:ilvl="0" w:tplc="FBB84F16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280664">
      <w:start w:val="1"/>
      <w:numFmt w:val="lowerLetter"/>
      <w:lvlText w:val="%2."/>
      <w:lvlJc w:val="left"/>
      <w:pPr>
        <w:ind w:left="209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EA0C2">
      <w:start w:val="1"/>
      <w:numFmt w:val="lowerRoman"/>
      <w:lvlText w:val="%3."/>
      <w:lvlJc w:val="left"/>
      <w:pPr>
        <w:ind w:left="281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26DEC">
      <w:start w:val="1"/>
      <w:numFmt w:val="decimal"/>
      <w:lvlText w:val="%4."/>
      <w:lvlJc w:val="left"/>
      <w:pPr>
        <w:ind w:left="353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077BE">
      <w:start w:val="1"/>
      <w:numFmt w:val="lowerLetter"/>
      <w:lvlText w:val="%5."/>
      <w:lvlJc w:val="left"/>
      <w:pPr>
        <w:ind w:left="425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E9B84">
      <w:start w:val="1"/>
      <w:numFmt w:val="lowerRoman"/>
      <w:lvlText w:val="%6."/>
      <w:lvlJc w:val="left"/>
      <w:pPr>
        <w:ind w:left="497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C6290">
      <w:start w:val="1"/>
      <w:numFmt w:val="decimal"/>
      <w:lvlText w:val="%7."/>
      <w:lvlJc w:val="left"/>
      <w:pPr>
        <w:ind w:left="569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00454">
      <w:start w:val="1"/>
      <w:numFmt w:val="lowerLetter"/>
      <w:lvlText w:val="%8."/>
      <w:lvlJc w:val="left"/>
      <w:pPr>
        <w:ind w:left="641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08E94">
      <w:start w:val="1"/>
      <w:numFmt w:val="lowerRoman"/>
      <w:lvlText w:val="%9."/>
      <w:lvlJc w:val="left"/>
      <w:pPr>
        <w:ind w:left="713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2D0A"/>
    <w:multiLevelType w:val="hybridMultilevel"/>
    <w:tmpl w:val="2EE6A4D6"/>
    <w:styleLink w:val="ImportedStyle3"/>
    <w:lvl w:ilvl="0" w:tplc="40381DA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A61E9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F21A8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2D6120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A09D6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DF272A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92ADF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2294A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8A497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43945133"/>
    <w:multiLevelType w:val="hybridMultilevel"/>
    <w:tmpl w:val="D0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B3D"/>
    <w:multiLevelType w:val="hybridMultilevel"/>
    <w:tmpl w:val="E340B2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52204"/>
    <w:multiLevelType w:val="hybridMultilevel"/>
    <w:tmpl w:val="60C61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C67AA2"/>
    <w:multiLevelType w:val="hybridMultilevel"/>
    <w:tmpl w:val="D79AD2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0322E"/>
    <w:multiLevelType w:val="hybridMultilevel"/>
    <w:tmpl w:val="8F9237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F511F"/>
    <w:multiLevelType w:val="hybridMultilevel"/>
    <w:tmpl w:val="9626C4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C0E07"/>
    <w:multiLevelType w:val="hybridMultilevel"/>
    <w:tmpl w:val="505C6606"/>
    <w:lvl w:ilvl="0" w:tplc="1AB8621A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6E5A40EC"/>
    <w:multiLevelType w:val="hybridMultilevel"/>
    <w:tmpl w:val="DE82D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34EA0"/>
    <w:multiLevelType w:val="hybridMultilevel"/>
    <w:tmpl w:val="58E4A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887289"/>
    <w:multiLevelType w:val="hybridMultilevel"/>
    <w:tmpl w:val="77BCE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15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65"/>
    <w:rsid w:val="00002E95"/>
    <w:rsid w:val="0001431F"/>
    <w:rsid w:val="000161A6"/>
    <w:rsid w:val="00020667"/>
    <w:rsid w:val="000258C4"/>
    <w:rsid w:val="0002686B"/>
    <w:rsid w:val="00031185"/>
    <w:rsid w:val="00043D2A"/>
    <w:rsid w:val="0004547B"/>
    <w:rsid w:val="00046BEE"/>
    <w:rsid w:val="000620DF"/>
    <w:rsid w:val="00063DF9"/>
    <w:rsid w:val="00067AD2"/>
    <w:rsid w:val="00072134"/>
    <w:rsid w:val="00075BB9"/>
    <w:rsid w:val="00076F2C"/>
    <w:rsid w:val="00077A25"/>
    <w:rsid w:val="000915DD"/>
    <w:rsid w:val="000926AF"/>
    <w:rsid w:val="00097D18"/>
    <w:rsid w:val="000B4487"/>
    <w:rsid w:val="000B5F04"/>
    <w:rsid w:val="000B6F42"/>
    <w:rsid w:val="000B7300"/>
    <w:rsid w:val="000C218F"/>
    <w:rsid w:val="000C2D2D"/>
    <w:rsid w:val="000C31C4"/>
    <w:rsid w:val="000C5F93"/>
    <w:rsid w:val="000D14C1"/>
    <w:rsid w:val="000D15A9"/>
    <w:rsid w:val="000D650D"/>
    <w:rsid w:val="000D7954"/>
    <w:rsid w:val="000E77B9"/>
    <w:rsid w:val="000F3970"/>
    <w:rsid w:val="000F5D62"/>
    <w:rsid w:val="00102375"/>
    <w:rsid w:val="00111EA9"/>
    <w:rsid w:val="0011734C"/>
    <w:rsid w:val="00123155"/>
    <w:rsid w:val="00126B21"/>
    <w:rsid w:val="001305DE"/>
    <w:rsid w:val="00134B1C"/>
    <w:rsid w:val="00142E67"/>
    <w:rsid w:val="00145CA2"/>
    <w:rsid w:val="00154C94"/>
    <w:rsid w:val="00162B47"/>
    <w:rsid w:val="00165F44"/>
    <w:rsid w:val="00184ACE"/>
    <w:rsid w:val="0018639F"/>
    <w:rsid w:val="00187C8F"/>
    <w:rsid w:val="00194E7B"/>
    <w:rsid w:val="00196E3A"/>
    <w:rsid w:val="001A1FCF"/>
    <w:rsid w:val="001A4053"/>
    <w:rsid w:val="001A7D02"/>
    <w:rsid w:val="001B6DA8"/>
    <w:rsid w:val="001B79C4"/>
    <w:rsid w:val="001C0B58"/>
    <w:rsid w:val="001C11BA"/>
    <w:rsid w:val="001C2462"/>
    <w:rsid w:val="001C581F"/>
    <w:rsid w:val="001C621B"/>
    <w:rsid w:val="001C7B99"/>
    <w:rsid w:val="001D0B20"/>
    <w:rsid w:val="001D0DD2"/>
    <w:rsid w:val="001D3309"/>
    <w:rsid w:val="001E0712"/>
    <w:rsid w:val="001E0728"/>
    <w:rsid w:val="001E333A"/>
    <w:rsid w:val="001E48B3"/>
    <w:rsid w:val="001E4C98"/>
    <w:rsid w:val="001F1294"/>
    <w:rsid w:val="001F2DDF"/>
    <w:rsid w:val="001F578E"/>
    <w:rsid w:val="001F5EFC"/>
    <w:rsid w:val="0020287F"/>
    <w:rsid w:val="00204BA9"/>
    <w:rsid w:val="0020787A"/>
    <w:rsid w:val="0021421F"/>
    <w:rsid w:val="0021577D"/>
    <w:rsid w:val="00217CC9"/>
    <w:rsid w:val="00220DE0"/>
    <w:rsid w:val="00223311"/>
    <w:rsid w:val="0022357B"/>
    <w:rsid w:val="00224F58"/>
    <w:rsid w:val="002419DA"/>
    <w:rsid w:val="002426DD"/>
    <w:rsid w:val="00246F86"/>
    <w:rsid w:val="002556C7"/>
    <w:rsid w:val="00256D6A"/>
    <w:rsid w:val="002614E7"/>
    <w:rsid w:val="00262322"/>
    <w:rsid w:val="0026247E"/>
    <w:rsid w:val="002659BF"/>
    <w:rsid w:val="00265C65"/>
    <w:rsid w:val="00273E1C"/>
    <w:rsid w:val="0028086D"/>
    <w:rsid w:val="00280EC7"/>
    <w:rsid w:val="0028658E"/>
    <w:rsid w:val="00286D8A"/>
    <w:rsid w:val="00293035"/>
    <w:rsid w:val="00295287"/>
    <w:rsid w:val="00295361"/>
    <w:rsid w:val="002A4DDE"/>
    <w:rsid w:val="002A62FC"/>
    <w:rsid w:val="002B39BB"/>
    <w:rsid w:val="002C0192"/>
    <w:rsid w:val="002C526F"/>
    <w:rsid w:val="002C5E51"/>
    <w:rsid w:val="002C6C00"/>
    <w:rsid w:val="002C6ED6"/>
    <w:rsid w:val="002D2EDB"/>
    <w:rsid w:val="002D48CB"/>
    <w:rsid w:val="002E3353"/>
    <w:rsid w:val="002E3785"/>
    <w:rsid w:val="002E5CF0"/>
    <w:rsid w:val="002F0EE3"/>
    <w:rsid w:val="002F3C8D"/>
    <w:rsid w:val="002F4C97"/>
    <w:rsid w:val="00304261"/>
    <w:rsid w:val="00307337"/>
    <w:rsid w:val="00345B24"/>
    <w:rsid w:val="00354CAA"/>
    <w:rsid w:val="00361BC8"/>
    <w:rsid w:val="00361C32"/>
    <w:rsid w:val="00364C25"/>
    <w:rsid w:val="00366150"/>
    <w:rsid w:val="00373C69"/>
    <w:rsid w:val="003816B9"/>
    <w:rsid w:val="00383FEB"/>
    <w:rsid w:val="003A3AC4"/>
    <w:rsid w:val="003A55CA"/>
    <w:rsid w:val="003B329D"/>
    <w:rsid w:val="003B408A"/>
    <w:rsid w:val="003C5BF9"/>
    <w:rsid w:val="003C756C"/>
    <w:rsid w:val="003D7FB9"/>
    <w:rsid w:val="003E0FFC"/>
    <w:rsid w:val="003F6DC2"/>
    <w:rsid w:val="00401F13"/>
    <w:rsid w:val="00404B79"/>
    <w:rsid w:val="00425406"/>
    <w:rsid w:val="00427D5E"/>
    <w:rsid w:val="004362E7"/>
    <w:rsid w:val="00436775"/>
    <w:rsid w:val="00437EE8"/>
    <w:rsid w:val="00443295"/>
    <w:rsid w:val="004435E9"/>
    <w:rsid w:val="004464EF"/>
    <w:rsid w:val="00456793"/>
    <w:rsid w:val="00467139"/>
    <w:rsid w:val="00467D9B"/>
    <w:rsid w:val="00473D7C"/>
    <w:rsid w:val="00474C61"/>
    <w:rsid w:val="00475CE5"/>
    <w:rsid w:val="00476CA4"/>
    <w:rsid w:val="004778A7"/>
    <w:rsid w:val="0048469D"/>
    <w:rsid w:val="00484A81"/>
    <w:rsid w:val="0049146D"/>
    <w:rsid w:val="00494272"/>
    <w:rsid w:val="0049520D"/>
    <w:rsid w:val="004A1EC6"/>
    <w:rsid w:val="004A2E90"/>
    <w:rsid w:val="004A79DC"/>
    <w:rsid w:val="004C51AC"/>
    <w:rsid w:val="004D03FA"/>
    <w:rsid w:val="004D4B69"/>
    <w:rsid w:val="004E1C89"/>
    <w:rsid w:val="004E20DA"/>
    <w:rsid w:val="004E21C9"/>
    <w:rsid w:val="004E3717"/>
    <w:rsid w:val="004E4A8B"/>
    <w:rsid w:val="004F0C36"/>
    <w:rsid w:val="004F4368"/>
    <w:rsid w:val="00500774"/>
    <w:rsid w:val="00506C30"/>
    <w:rsid w:val="00507D4F"/>
    <w:rsid w:val="00513AF9"/>
    <w:rsid w:val="00514391"/>
    <w:rsid w:val="005150BC"/>
    <w:rsid w:val="005217CA"/>
    <w:rsid w:val="00535250"/>
    <w:rsid w:val="00535BA3"/>
    <w:rsid w:val="00542EC8"/>
    <w:rsid w:val="00550378"/>
    <w:rsid w:val="005533EE"/>
    <w:rsid w:val="00554987"/>
    <w:rsid w:val="00563B7C"/>
    <w:rsid w:val="00571AB4"/>
    <w:rsid w:val="00571B13"/>
    <w:rsid w:val="0057353C"/>
    <w:rsid w:val="00574013"/>
    <w:rsid w:val="005830B5"/>
    <w:rsid w:val="00584E01"/>
    <w:rsid w:val="00586543"/>
    <w:rsid w:val="005A1B7E"/>
    <w:rsid w:val="005A466D"/>
    <w:rsid w:val="005A52FF"/>
    <w:rsid w:val="005A6558"/>
    <w:rsid w:val="005A6CBD"/>
    <w:rsid w:val="005C084D"/>
    <w:rsid w:val="005C7357"/>
    <w:rsid w:val="005C7825"/>
    <w:rsid w:val="005D2460"/>
    <w:rsid w:val="005D3B73"/>
    <w:rsid w:val="0060355B"/>
    <w:rsid w:val="00603D6D"/>
    <w:rsid w:val="00611AD7"/>
    <w:rsid w:val="00615865"/>
    <w:rsid w:val="00616687"/>
    <w:rsid w:val="006178D1"/>
    <w:rsid w:val="0062161F"/>
    <w:rsid w:val="00623B33"/>
    <w:rsid w:val="00623C66"/>
    <w:rsid w:val="00623E06"/>
    <w:rsid w:val="006303CD"/>
    <w:rsid w:val="00630DE0"/>
    <w:rsid w:val="00634EED"/>
    <w:rsid w:val="00635DC4"/>
    <w:rsid w:val="0064111F"/>
    <w:rsid w:val="00674F3C"/>
    <w:rsid w:val="006827F7"/>
    <w:rsid w:val="0069102D"/>
    <w:rsid w:val="00694E07"/>
    <w:rsid w:val="006A560A"/>
    <w:rsid w:val="006B1F37"/>
    <w:rsid w:val="006B5817"/>
    <w:rsid w:val="006B5B42"/>
    <w:rsid w:val="006C0161"/>
    <w:rsid w:val="006C09AC"/>
    <w:rsid w:val="006E74DF"/>
    <w:rsid w:val="006F1372"/>
    <w:rsid w:val="006F2CF9"/>
    <w:rsid w:val="006F47F0"/>
    <w:rsid w:val="00700F02"/>
    <w:rsid w:val="007016CC"/>
    <w:rsid w:val="00704A64"/>
    <w:rsid w:val="00713026"/>
    <w:rsid w:val="00715A6D"/>
    <w:rsid w:val="00715DDB"/>
    <w:rsid w:val="00715E0A"/>
    <w:rsid w:val="00736B4F"/>
    <w:rsid w:val="00750803"/>
    <w:rsid w:val="00754D2D"/>
    <w:rsid w:val="00761A02"/>
    <w:rsid w:val="0076266C"/>
    <w:rsid w:val="007707DF"/>
    <w:rsid w:val="00772E12"/>
    <w:rsid w:val="007739DB"/>
    <w:rsid w:val="00774697"/>
    <w:rsid w:val="007762CE"/>
    <w:rsid w:val="007842A3"/>
    <w:rsid w:val="00784F1F"/>
    <w:rsid w:val="00784F3E"/>
    <w:rsid w:val="00794564"/>
    <w:rsid w:val="00796A28"/>
    <w:rsid w:val="007A272C"/>
    <w:rsid w:val="007B2181"/>
    <w:rsid w:val="007B3276"/>
    <w:rsid w:val="007B3FBF"/>
    <w:rsid w:val="007C1E0D"/>
    <w:rsid w:val="007C63BC"/>
    <w:rsid w:val="007D4809"/>
    <w:rsid w:val="007E19E9"/>
    <w:rsid w:val="007E29A6"/>
    <w:rsid w:val="007E4E0A"/>
    <w:rsid w:val="007F522F"/>
    <w:rsid w:val="007F644B"/>
    <w:rsid w:val="007F7D06"/>
    <w:rsid w:val="00807206"/>
    <w:rsid w:val="0081007F"/>
    <w:rsid w:val="00810BF4"/>
    <w:rsid w:val="00814C4C"/>
    <w:rsid w:val="00821FC3"/>
    <w:rsid w:val="00824144"/>
    <w:rsid w:val="00834EFE"/>
    <w:rsid w:val="00850381"/>
    <w:rsid w:val="0085306A"/>
    <w:rsid w:val="008558DB"/>
    <w:rsid w:val="00857042"/>
    <w:rsid w:val="008625C1"/>
    <w:rsid w:val="00863A21"/>
    <w:rsid w:val="008642C2"/>
    <w:rsid w:val="00866D09"/>
    <w:rsid w:val="008821FA"/>
    <w:rsid w:val="00885035"/>
    <w:rsid w:val="00887865"/>
    <w:rsid w:val="008909EA"/>
    <w:rsid w:val="008A38AD"/>
    <w:rsid w:val="008A4182"/>
    <w:rsid w:val="008B420C"/>
    <w:rsid w:val="008B54FA"/>
    <w:rsid w:val="008C455D"/>
    <w:rsid w:val="008D2171"/>
    <w:rsid w:val="008D243E"/>
    <w:rsid w:val="008D7CB6"/>
    <w:rsid w:val="008E33E7"/>
    <w:rsid w:val="008E362A"/>
    <w:rsid w:val="008F01EC"/>
    <w:rsid w:val="009030E9"/>
    <w:rsid w:val="009067D7"/>
    <w:rsid w:val="00906AC5"/>
    <w:rsid w:val="0091277E"/>
    <w:rsid w:val="0093029A"/>
    <w:rsid w:val="00930BF8"/>
    <w:rsid w:val="00946EF4"/>
    <w:rsid w:val="00956092"/>
    <w:rsid w:val="009570AC"/>
    <w:rsid w:val="00963FA4"/>
    <w:rsid w:val="009667C3"/>
    <w:rsid w:val="00966EE1"/>
    <w:rsid w:val="009712C5"/>
    <w:rsid w:val="00976A5A"/>
    <w:rsid w:val="009968E2"/>
    <w:rsid w:val="009A0573"/>
    <w:rsid w:val="009A06FB"/>
    <w:rsid w:val="009A53E1"/>
    <w:rsid w:val="009A5682"/>
    <w:rsid w:val="009A6529"/>
    <w:rsid w:val="009B3891"/>
    <w:rsid w:val="009C11C4"/>
    <w:rsid w:val="009C4854"/>
    <w:rsid w:val="009D33CB"/>
    <w:rsid w:val="009E3BF6"/>
    <w:rsid w:val="009E53B5"/>
    <w:rsid w:val="009F0BBB"/>
    <w:rsid w:val="00A262CA"/>
    <w:rsid w:val="00A53DEF"/>
    <w:rsid w:val="00A548EA"/>
    <w:rsid w:val="00A54E6C"/>
    <w:rsid w:val="00A558BE"/>
    <w:rsid w:val="00A56C31"/>
    <w:rsid w:val="00A610D2"/>
    <w:rsid w:val="00A72665"/>
    <w:rsid w:val="00A768B4"/>
    <w:rsid w:val="00A77FD6"/>
    <w:rsid w:val="00A92AF2"/>
    <w:rsid w:val="00A94AFD"/>
    <w:rsid w:val="00AA6E26"/>
    <w:rsid w:val="00AB1C1D"/>
    <w:rsid w:val="00AB5283"/>
    <w:rsid w:val="00AB6A5D"/>
    <w:rsid w:val="00AD05C7"/>
    <w:rsid w:val="00AD20F7"/>
    <w:rsid w:val="00AD4184"/>
    <w:rsid w:val="00AD570D"/>
    <w:rsid w:val="00AD77B5"/>
    <w:rsid w:val="00AE4985"/>
    <w:rsid w:val="00AE63C8"/>
    <w:rsid w:val="00AF0DC3"/>
    <w:rsid w:val="00AF0EDE"/>
    <w:rsid w:val="00B06A0B"/>
    <w:rsid w:val="00B1075D"/>
    <w:rsid w:val="00B1264B"/>
    <w:rsid w:val="00B175F7"/>
    <w:rsid w:val="00B20DE5"/>
    <w:rsid w:val="00B27C00"/>
    <w:rsid w:val="00B37250"/>
    <w:rsid w:val="00B40B27"/>
    <w:rsid w:val="00B436EC"/>
    <w:rsid w:val="00B4709B"/>
    <w:rsid w:val="00B50B00"/>
    <w:rsid w:val="00B515E3"/>
    <w:rsid w:val="00B61B14"/>
    <w:rsid w:val="00B63367"/>
    <w:rsid w:val="00B6374B"/>
    <w:rsid w:val="00B676AB"/>
    <w:rsid w:val="00B71214"/>
    <w:rsid w:val="00B717AF"/>
    <w:rsid w:val="00B722DB"/>
    <w:rsid w:val="00B82623"/>
    <w:rsid w:val="00B9346B"/>
    <w:rsid w:val="00B96253"/>
    <w:rsid w:val="00BA08A1"/>
    <w:rsid w:val="00BA1248"/>
    <w:rsid w:val="00BA3B28"/>
    <w:rsid w:val="00BA64C9"/>
    <w:rsid w:val="00BA7129"/>
    <w:rsid w:val="00BB3A52"/>
    <w:rsid w:val="00BB3F3B"/>
    <w:rsid w:val="00BD4716"/>
    <w:rsid w:val="00BD6B5A"/>
    <w:rsid w:val="00BE12CD"/>
    <w:rsid w:val="00BE4219"/>
    <w:rsid w:val="00BE7267"/>
    <w:rsid w:val="00BF0274"/>
    <w:rsid w:val="00BF4743"/>
    <w:rsid w:val="00BF613E"/>
    <w:rsid w:val="00C05F9F"/>
    <w:rsid w:val="00C109E8"/>
    <w:rsid w:val="00C24917"/>
    <w:rsid w:val="00C2532F"/>
    <w:rsid w:val="00C27807"/>
    <w:rsid w:val="00C3000E"/>
    <w:rsid w:val="00C3095A"/>
    <w:rsid w:val="00C40198"/>
    <w:rsid w:val="00C43389"/>
    <w:rsid w:val="00C44C46"/>
    <w:rsid w:val="00C51C46"/>
    <w:rsid w:val="00C5466C"/>
    <w:rsid w:val="00C62897"/>
    <w:rsid w:val="00C67AAF"/>
    <w:rsid w:val="00C71D84"/>
    <w:rsid w:val="00C76384"/>
    <w:rsid w:val="00C766DD"/>
    <w:rsid w:val="00C76E25"/>
    <w:rsid w:val="00C778A9"/>
    <w:rsid w:val="00C84A1A"/>
    <w:rsid w:val="00C84B40"/>
    <w:rsid w:val="00C917E9"/>
    <w:rsid w:val="00C96FC7"/>
    <w:rsid w:val="00CA4AF7"/>
    <w:rsid w:val="00CB27FB"/>
    <w:rsid w:val="00CD1C5E"/>
    <w:rsid w:val="00CD379D"/>
    <w:rsid w:val="00CD5797"/>
    <w:rsid w:val="00CD5AD5"/>
    <w:rsid w:val="00CD6E5E"/>
    <w:rsid w:val="00CF1951"/>
    <w:rsid w:val="00CF49D7"/>
    <w:rsid w:val="00CF5B88"/>
    <w:rsid w:val="00CF6418"/>
    <w:rsid w:val="00CF6E67"/>
    <w:rsid w:val="00CF7A8F"/>
    <w:rsid w:val="00D11632"/>
    <w:rsid w:val="00D12A0A"/>
    <w:rsid w:val="00D16863"/>
    <w:rsid w:val="00D25367"/>
    <w:rsid w:val="00D32CF9"/>
    <w:rsid w:val="00D36237"/>
    <w:rsid w:val="00D40C57"/>
    <w:rsid w:val="00D417DC"/>
    <w:rsid w:val="00D54336"/>
    <w:rsid w:val="00D5629A"/>
    <w:rsid w:val="00D57579"/>
    <w:rsid w:val="00D62820"/>
    <w:rsid w:val="00D6715C"/>
    <w:rsid w:val="00D712E1"/>
    <w:rsid w:val="00D74C37"/>
    <w:rsid w:val="00D77C14"/>
    <w:rsid w:val="00D8195A"/>
    <w:rsid w:val="00D83507"/>
    <w:rsid w:val="00D85AC2"/>
    <w:rsid w:val="00D916CB"/>
    <w:rsid w:val="00D94C21"/>
    <w:rsid w:val="00DA202D"/>
    <w:rsid w:val="00DA4175"/>
    <w:rsid w:val="00DA55BF"/>
    <w:rsid w:val="00DB7848"/>
    <w:rsid w:val="00DC4023"/>
    <w:rsid w:val="00DC455B"/>
    <w:rsid w:val="00DC7335"/>
    <w:rsid w:val="00DD13B4"/>
    <w:rsid w:val="00DD17EE"/>
    <w:rsid w:val="00DD6E69"/>
    <w:rsid w:val="00DE718C"/>
    <w:rsid w:val="00DF1DDF"/>
    <w:rsid w:val="00DF27EE"/>
    <w:rsid w:val="00DF3993"/>
    <w:rsid w:val="00DF5A7D"/>
    <w:rsid w:val="00DF7546"/>
    <w:rsid w:val="00E10D27"/>
    <w:rsid w:val="00E14AE4"/>
    <w:rsid w:val="00E164F1"/>
    <w:rsid w:val="00E24F92"/>
    <w:rsid w:val="00E30BB6"/>
    <w:rsid w:val="00E30C9E"/>
    <w:rsid w:val="00E33AB6"/>
    <w:rsid w:val="00E427DA"/>
    <w:rsid w:val="00E62E47"/>
    <w:rsid w:val="00E63F3C"/>
    <w:rsid w:val="00E65C6F"/>
    <w:rsid w:val="00E725D2"/>
    <w:rsid w:val="00E74ED0"/>
    <w:rsid w:val="00E81BF6"/>
    <w:rsid w:val="00E91F72"/>
    <w:rsid w:val="00E947D7"/>
    <w:rsid w:val="00EA2B53"/>
    <w:rsid w:val="00EA3F5F"/>
    <w:rsid w:val="00EA7A2C"/>
    <w:rsid w:val="00EA7AB9"/>
    <w:rsid w:val="00EC1FCD"/>
    <w:rsid w:val="00EC525E"/>
    <w:rsid w:val="00ED01FC"/>
    <w:rsid w:val="00EF2D67"/>
    <w:rsid w:val="00EF2F9A"/>
    <w:rsid w:val="00EF3352"/>
    <w:rsid w:val="00EF66BD"/>
    <w:rsid w:val="00F02589"/>
    <w:rsid w:val="00F05CB2"/>
    <w:rsid w:val="00F11F2F"/>
    <w:rsid w:val="00F176D9"/>
    <w:rsid w:val="00F17B36"/>
    <w:rsid w:val="00F2496E"/>
    <w:rsid w:val="00F25311"/>
    <w:rsid w:val="00F3316A"/>
    <w:rsid w:val="00F37BFD"/>
    <w:rsid w:val="00F426CF"/>
    <w:rsid w:val="00F5211F"/>
    <w:rsid w:val="00F53621"/>
    <w:rsid w:val="00F539B9"/>
    <w:rsid w:val="00F544D1"/>
    <w:rsid w:val="00F64CBC"/>
    <w:rsid w:val="00F6727F"/>
    <w:rsid w:val="00F71E7F"/>
    <w:rsid w:val="00F7793B"/>
    <w:rsid w:val="00F82E68"/>
    <w:rsid w:val="00F83DBB"/>
    <w:rsid w:val="00F8450E"/>
    <w:rsid w:val="00F84845"/>
    <w:rsid w:val="00F8602C"/>
    <w:rsid w:val="00F91B22"/>
    <w:rsid w:val="00F92519"/>
    <w:rsid w:val="00F95419"/>
    <w:rsid w:val="00F96009"/>
    <w:rsid w:val="00FA2EAF"/>
    <w:rsid w:val="00FA6E06"/>
    <w:rsid w:val="00FB4A97"/>
    <w:rsid w:val="00FC0E55"/>
    <w:rsid w:val="00FC4078"/>
    <w:rsid w:val="00FC6D03"/>
    <w:rsid w:val="00FD04FA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66A09EC2"/>
  <w15:docId w15:val="{81BBFCB9-7EAC-463A-A46A-B7246BA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52FF"/>
    <w:pPr>
      <w:keepNext/>
      <w:outlineLvl w:val="0"/>
    </w:pPr>
    <w:rPr>
      <w:rFonts w:ascii="Univers" w:eastAsia="Times New Roman" w:hAnsi="Univers" w:cs="Times New Roman"/>
      <w:b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F5F"/>
    <w:pPr>
      <w:tabs>
        <w:tab w:val="center" w:pos="4320"/>
        <w:tab w:val="right" w:pos="8640"/>
      </w:tabs>
    </w:pPr>
  </w:style>
  <w:style w:type="paragraph" w:customStyle="1" w:styleId="ARbodycopy">
    <w:name w:val="AR body copy"/>
    <w:basedOn w:val="Normal"/>
    <w:link w:val="ARbodycopyChar"/>
    <w:qFormat/>
    <w:rsid w:val="003A3AC4"/>
    <w:pPr>
      <w:spacing w:after="240"/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3F5F"/>
  </w:style>
  <w:style w:type="paragraph" w:styleId="Footer">
    <w:name w:val="footer"/>
    <w:basedOn w:val="Normal"/>
    <w:link w:val="FooterChar"/>
    <w:uiPriority w:val="99"/>
    <w:unhideWhenUsed/>
    <w:rsid w:val="00EA3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F5F"/>
  </w:style>
  <w:style w:type="paragraph" w:customStyle="1" w:styleId="ARheading1">
    <w:name w:val="AR heading 1"/>
    <w:basedOn w:val="ARbodycopy"/>
    <w:link w:val="ARheading1Char"/>
    <w:qFormat/>
    <w:rsid w:val="00AB6A5D"/>
    <w:pPr>
      <w:spacing w:after="120"/>
    </w:pPr>
    <w:rPr>
      <w:color w:val="55256E"/>
      <w:sz w:val="48"/>
      <w:szCs w:val="48"/>
    </w:rPr>
  </w:style>
  <w:style w:type="paragraph" w:customStyle="1" w:styleId="ARheading2white">
    <w:name w:val="AR heading 2 white"/>
    <w:basedOn w:val="ARheading2maroon"/>
    <w:qFormat/>
    <w:rsid w:val="005150BC"/>
    <w:rPr>
      <w:color w:val="FFFFFF" w:themeColor="background1"/>
    </w:rPr>
  </w:style>
  <w:style w:type="paragraph" w:customStyle="1" w:styleId="ARheading2maroon">
    <w:name w:val="AR heading 2 maroon"/>
    <w:qFormat/>
    <w:rsid w:val="00AB6A5D"/>
    <w:pPr>
      <w:widowControl w:val="0"/>
      <w:spacing w:after="120"/>
    </w:pPr>
    <w:rPr>
      <w:rFonts w:ascii="Arial" w:hAnsi="Arial"/>
      <w:b/>
      <w:color w:val="9B133C"/>
      <w:sz w:val="28"/>
      <w:szCs w:val="28"/>
    </w:rPr>
  </w:style>
  <w:style w:type="paragraph" w:customStyle="1" w:styleId="Headingpart10">
    <w:name w:val="Heading part 10"/>
    <w:basedOn w:val="Normal"/>
    <w:qFormat/>
    <w:rsid w:val="001C11BA"/>
    <w:pPr>
      <w:tabs>
        <w:tab w:val="left" w:pos="3220"/>
      </w:tabs>
      <w:spacing w:after="200" w:line="276" w:lineRule="auto"/>
      <w:outlineLvl w:val="1"/>
    </w:pPr>
    <w:rPr>
      <w:rFonts w:ascii="Arial" w:hAnsi="Arial" w:cs="Arial"/>
      <w:b/>
      <w:color w:val="896974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1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11BA"/>
    <w:pPr>
      <w:tabs>
        <w:tab w:val="left" w:pos="3220"/>
      </w:tabs>
      <w:spacing w:after="200" w:line="276" w:lineRule="auto"/>
    </w:pPr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C11BA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aliases w:val="Coloured chapter page dot points"/>
    <w:basedOn w:val="Normal"/>
    <w:link w:val="ListParagraphChar"/>
    <w:qFormat/>
    <w:rsid w:val="001C11BA"/>
    <w:pPr>
      <w:tabs>
        <w:tab w:val="left" w:pos="3220"/>
      </w:tabs>
      <w:spacing w:after="200" w:line="276" w:lineRule="auto"/>
      <w:ind w:left="720"/>
      <w:contextualSpacing/>
    </w:pPr>
    <w:rPr>
      <w:rFonts w:ascii="Arial" w:hAnsi="Arial" w:cs="Arial"/>
      <w:sz w:val="22"/>
      <w:szCs w:val="22"/>
      <w:lang w:val="en-US"/>
    </w:rPr>
  </w:style>
  <w:style w:type="paragraph" w:customStyle="1" w:styleId="ARbullets">
    <w:name w:val="AR bullets"/>
    <w:basedOn w:val="ARbodycopy"/>
    <w:link w:val="ARbulletsChar"/>
    <w:qFormat/>
    <w:rsid w:val="00467D9B"/>
    <w:pPr>
      <w:numPr>
        <w:numId w:val="1"/>
      </w:numPr>
      <w:spacing w:before="80" w:after="80"/>
      <w:ind w:left="426"/>
    </w:pPr>
  </w:style>
  <w:style w:type="character" w:customStyle="1" w:styleId="Heading1Char">
    <w:name w:val="Heading 1 Char"/>
    <w:basedOn w:val="DefaultParagraphFont"/>
    <w:link w:val="Heading1"/>
    <w:rsid w:val="005A52FF"/>
    <w:rPr>
      <w:rFonts w:ascii="Univers" w:eastAsia="Times New Roman" w:hAnsi="Univers" w:cs="Times New Roman"/>
      <w:b/>
      <w:szCs w:val="20"/>
      <w:lang w:eastAsia="en-AU"/>
    </w:rPr>
  </w:style>
  <w:style w:type="character" w:customStyle="1" w:styleId="ARbodycopyChar">
    <w:name w:val="AR body copy Char"/>
    <w:basedOn w:val="DefaultParagraphFont"/>
    <w:link w:val="ARbodycopy"/>
    <w:rsid w:val="003A3AC4"/>
    <w:rPr>
      <w:rFonts w:ascii="Arial" w:hAnsi="Arial"/>
      <w:sz w:val="22"/>
      <w:szCs w:val="22"/>
    </w:rPr>
  </w:style>
  <w:style w:type="character" w:customStyle="1" w:styleId="ARbulletsChar">
    <w:name w:val="AR bullets Char"/>
    <w:basedOn w:val="ARbodycopyChar"/>
    <w:link w:val="ARbullets"/>
    <w:rsid w:val="00467D9B"/>
    <w:rPr>
      <w:rFonts w:ascii="Arial" w:hAnsi="Arial"/>
      <w:sz w:val="22"/>
      <w:szCs w:val="22"/>
    </w:rPr>
  </w:style>
  <w:style w:type="paragraph" w:customStyle="1" w:styleId="Text">
    <w:name w:val="Text"/>
    <w:basedOn w:val="Normal"/>
    <w:rsid w:val="005A52FF"/>
    <w:rPr>
      <w:rFonts w:ascii="Times" w:eastAsia="Times New Roman" w:hAnsi="Times" w:cs="Times New Roman"/>
      <w:szCs w:val="20"/>
      <w:lang w:eastAsia="en-AU"/>
    </w:rPr>
  </w:style>
  <w:style w:type="paragraph" w:customStyle="1" w:styleId="ARsectionheadingwhite">
    <w:name w:val="AR section heading white"/>
    <w:basedOn w:val="ARheading1"/>
    <w:link w:val="ARsectionheadingwhiteChar"/>
    <w:rsid w:val="00BA1248"/>
    <w:pPr>
      <w:spacing w:before="2520"/>
    </w:pPr>
    <w:rPr>
      <w:color w:val="FFFFFF" w:themeColor="background1"/>
    </w:rPr>
  </w:style>
  <w:style w:type="paragraph" w:customStyle="1" w:styleId="ARheading1white">
    <w:name w:val="AR heading 1 white"/>
    <w:basedOn w:val="ARheading1"/>
    <w:link w:val="ARheading1whiteChar"/>
    <w:rsid w:val="003F6DC2"/>
    <w:pPr>
      <w:spacing w:before="8800" w:after="240"/>
    </w:pPr>
    <w:rPr>
      <w:color w:val="FFFFFF" w:themeColor="background1"/>
    </w:rPr>
  </w:style>
  <w:style w:type="character" w:customStyle="1" w:styleId="ARheading1Char">
    <w:name w:val="AR heading 1 Char"/>
    <w:basedOn w:val="ARbodycopyChar"/>
    <w:link w:val="ARheading1"/>
    <w:rsid w:val="00AB6A5D"/>
    <w:rPr>
      <w:rFonts w:ascii="Arial" w:hAnsi="Arial"/>
      <w:color w:val="55256E"/>
      <w:sz w:val="48"/>
      <w:szCs w:val="48"/>
    </w:rPr>
  </w:style>
  <w:style w:type="character" w:customStyle="1" w:styleId="ARsectionheadingwhiteChar">
    <w:name w:val="AR section heading white Char"/>
    <w:basedOn w:val="ARheading1Char"/>
    <w:link w:val="ARsectionheadingwhite"/>
    <w:rsid w:val="00BA1248"/>
    <w:rPr>
      <w:rFonts w:ascii="Arial" w:hAnsi="Arial"/>
      <w:color w:val="FFFFFF" w:themeColor="background1"/>
      <w:sz w:val="48"/>
      <w:szCs w:val="48"/>
    </w:rPr>
  </w:style>
  <w:style w:type="paragraph" w:customStyle="1" w:styleId="ARbodycopywhite">
    <w:name w:val="AR body copy white"/>
    <w:basedOn w:val="ARbodycopy"/>
    <w:link w:val="ARbodycopywhiteChar"/>
    <w:qFormat/>
    <w:rsid w:val="00D57579"/>
    <w:rPr>
      <w:color w:val="FFFFFF" w:themeColor="background1"/>
    </w:rPr>
  </w:style>
  <w:style w:type="character" w:customStyle="1" w:styleId="ARheading1whiteChar">
    <w:name w:val="AR heading 1 white Char"/>
    <w:basedOn w:val="ARheading1Char"/>
    <w:link w:val="ARheading1white"/>
    <w:rsid w:val="003F6DC2"/>
    <w:rPr>
      <w:rFonts w:ascii="Arial" w:hAnsi="Arial"/>
      <w:color w:val="FFFFFF" w:themeColor="background1"/>
      <w:sz w:val="48"/>
      <w:szCs w:val="48"/>
    </w:rPr>
  </w:style>
  <w:style w:type="paragraph" w:customStyle="1" w:styleId="ARdividerheadingyellow">
    <w:name w:val="AR divider heading yellow"/>
    <w:basedOn w:val="ARheading1white"/>
    <w:link w:val="ARdividerheadingyellowChar"/>
    <w:qFormat/>
    <w:rsid w:val="00784F3E"/>
    <w:pPr>
      <w:spacing w:before="9120"/>
    </w:pPr>
    <w:rPr>
      <w:color w:val="FFCE49"/>
      <w:sz w:val="72"/>
      <w:szCs w:val="72"/>
    </w:rPr>
  </w:style>
  <w:style w:type="character" w:customStyle="1" w:styleId="ARbodycopywhiteChar">
    <w:name w:val="AR body copy white Char"/>
    <w:basedOn w:val="ARbodycopyChar"/>
    <w:link w:val="ARbodycopywhite"/>
    <w:rsid w:val="00D57579"/>
    <w:rPr>
      <w:rFonts w:ascii="Arial" w:hAnsi="Arial"/>
      <w:color w:val="FFFFFF" w:themeColor="background1"/>
      <w:sz w:val="22"/>
      <w:szCs w:val="22"/>
    </w:rPr>
  </w:style>
  <w:style w:type="character" w:customStyle="1" w:styleId="ARdividerheadingyellowChar">
    <w:name w:val="AR divider heading yellow Char"/>
    <w:basedOn w:val="ARheading1whiteChar"/>
    <w:link w:val="ARdividerheadingyellow"/>
    <w:rsid w:val="00784F3E"/>
    <w:rPr>
      <w:rFonts w:ascii="Arial" w:hAnsi="Arial"/>
      <w:color w:val="FFCE49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A7A2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739D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1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7793B"/>
    <w:pPr>
      <w:spacing w:after="60"/>
    </w:pPr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1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3">
    <w:name w:val="toc 3"/>
    <w:basedOn w:val="Normal"/>
    <w:next w:val="Normal"/>
    <w:autoRedefine/>
    <w:uiPriority w:val="39"/>
    <w:unhideWhenUsed/>
    <w:rsid w:val="00F7793B"/>
    <w:pPr>
      <w:spacing w:after="60"/>
      <w:ind w:left="482"/>
    </w:pPr>
    <w:rPr>
      <w:rFonts w:ascii="Arial" w:hAnsi="Arial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F7793B"/>
    <w:pPr>
      <w:tabs>
        <w:tab w:val="right" w:leader="dot" w:pos="9622"/>
      </w:tabs>
      <w:spacing w:after="60"/>
      <w:ind w:left="238"/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3A3AC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A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blecopy">
    <w:name w:val="AR Table copy"/>
    <w:basedOn w:val="ARbodycopy"/>
    <w:link w:val="ARTablecopyChar"/>
    <w:qFormat/>
    <w:rsid w:val="008A4182"/>
    <w:pPr>
      <w:spacing w:after="0"/>
    </w:pPr>
    <w:rPr>
      <w:lang w:val="en-US"/>
    </w:rPr>
  </w:style>
  <w:style w:type="paragraph" w:customStyle="1" w:styleId="ARBulletswhite">
    <w:name w:val="AR Bullets white"/>
    <w:basedOn w:val="ARbullets"/>
    <w:link w:val="ARBulletswhiteChar"/>
    <w:qFormat/>
    <w:rsid w:val="00EF3352"/>
    <w:rPr>
      <w:color w:val="FFFFFF" w:themeColor="background1"/>
    </w:rPr>
  </w:style>
  <w:style w:type="character" w:customStyle="1" w:styleId="ARTablecopyChar">
    <w:name w:val="AR Table copy Char"/>
    <w:basedOn w:val="ARbodycopyChar"/>
    <w:link w:val="ARTablecopy"/>
    <w:rsid w:val="008A4182"/>
    <w:rPr>
      <w:rFonts w:ascii="Arial" w:hAnsi="Arial"/>
      <w:sz w:val="22"/>
      <w:szCs w:val="22"/>
      <w:lang w:val="en-US"/>
    </w:rPr>
  </w:style>
  <w:style w:type="paragraph" w:customStyle="1" w:styleId="ARheading1white2">
    <w:name w:val="AR heading 1 white2"/>
    <w:basedOn w:val="ARheading1"/>
    <w:link w:val="ARheading1white2Char"/>
    <w:qFormat/>
    <w:rsid w:val="00F84845"/>
    <w:rPr>
      <w:color w:val="FFFFFF" w:themeColor="background1"/>
    </w:rPr>
  </w:style>
  <w:style w:type="character" w:customStyle="1" w:styleId="ARBulletswhiteChar">
    <w:name w:val="AR Bullets white Char"/>
    <w:basedOn w:val="ARbulletsChar"/>
    <w:link w:val="ARBulletswhite"/>
    <w:rsid w:val="00EF3352"/>
    <w:rPr>
      <w:rFonts w:ascii="Arial" w:hAnsi="Arial"/>
      <w:color w:val="FFFFFF" w:themeColor="background1"/>
      <w:sz w:val="22"/>
      <w:szCs w:val="22"/>
    </w:rPr>
  </w:style>
  <w:style w:type="paragraph" w:customStyle="1" w:styleId="TableTextHeading">
    <w:name w:val="Table Text Heading"/>
    <w:basedOn w:val="Normal"/>
    <w:uiPriority w:val="13"/>
    <w:qFormat/>
    <w:rsid w:val="00794564"/>
    <w:pPr>
      <w:spacing w:before="60" w:after="60" w:line="264" w:lineRule="auto"/>
      <w:jc w:val="center"/>
    </w:pPr>
    <w:rPr>
      <w:rFonts w:ascii="Arial" w:eastAsiaTheme="minorHAnsi" w:hAnsi="Arial"/>
      <w:b/>
      <w:sz w:val="19"/>
      <w:szCs w:val="18"/>
    </w:rPr>
  </w:style>
  <w:style w:type="character" w:customStyle="1" w:styleId="ARheading1white2Char">
    <w:name w:val="AR heading 1 white2 Char"/>
    <w:basedOn w:val="ARheading1Char"/>
    <w:link w:val="ARheading1white2"/>
    <w:rsid w:val="00F84845"/>
    <w:rPr>
      <w:rFonts w:ascii="Arial" w:hAnsi="Arial"/>
      <w:color w:val="FFFFFF" w:themeColor="background1"/>
      <w:sz w:val="48"/>
      <w:szCs w:val="48"/>
    </w:rPr>
  </w:style>
  <w:style w:type="paragraph" w:customStyle="1" w:styleId="TableTextBold">
    <w:name w:val="Table Text Bold"/>
    <w:basedOn w:val="Normal"/>
    <w:uiPriority w:val="17"/>
    <w:qFormat/>
    <w:rsid w:val="00B436EC"/>
    <w:pPr>
      <w:spacing w:before="60" w:after="60" w:line="264" w:lineRule="auto"/>
    </w:pPr>
    <w:rPr>
      <w:rFonts w:ascii="Arial" w:eastAsiaTheme="minorHAnsi" w:hAnsi="Arial"/>
      <w:b/>
      <w:sz w:val="19"/>
      <w:szCs w:val="18"/>
    </w:rPr>
  </w:style>
  <w:style w:type="paragraph" w:customStyle="1" w:styleId="TableTextItalics">
    <w:name w:val="Table Text Italics"/>
    <w:basedOn w:val="Normal"/>
    <w:uiPriority w:val="18"/>
    <w:rsid w:val="00B436EC"/>
    <w:pPr>
      <w:spacing w:before="60" w:after="60" w:line="264" w:lineRule="auto"/>
    </w:pPr>
    <w:rPr>
      <w:rFonts w:ascii="Arial" w:eastAsiaTheme="minorHAnsi" w:hAnsi="Arial"/>
      <w:i/>
      <w:sz w:val="19"/>
      <w:szCs w:val="18"/>
    </w:rPr>
  </w:style>
  <w:style w:type="paragraph" w:customStyle="1" w:styleId="TableTextRight">
    <w:name w:val="Table Text Right"/>
    <w:basedOn w:val="Normal"/>
    <w:uiPriority w:val="16"/>
    <w:qFormat/>
    <w:rsid w:val="00B436EC"/>
    <w:pPr>
      <w:spacing w:before="60" w:after="60" w:line="264" w:lineRule="auto"/>
      <w:jc w:val="right"/>
    </w:pPr>
    <w:rPr>
      <w:rFonts w:ascii="Arial" w:eastAsiaTheme="minorHAnsi" w:hAnsi="Arial"/>
      <w:sz w:val="19"/>
      <w:szCs w:val="18"/>
    </w:rPr>
  </w:style>
  <w:style w:type="paragraph" w:customStyle="1" w:styleId="TableListBullet">
    <w:name w:val="Table List Bullet"/>
    <w:basedOn w:val="Normal"/>
    <w:uiPriority w:val="19"/>
    <w:qFormat/>
    <w:rsid w:val="00B436EC"/>
    <w:pPr>
      <w:numPr>
        <w:numId w:val="3"/>
      </w:numPr>
      <w:tabs>
        <w:tab w:val="left" w:pos="357"/>
      </w:tabs>
      <w:spacing w:before="60" w:after="60" w:line="264" w:lineRule="auto"/>
      <w:ind w:left="357" w:hanging="357"/>
    </w:pPr>
    <w:rPr>
      <w:rFonts w:ascii="Arial" w:eastAsiaTheme="minorHAnsi" w:hAnsi="Arial"/>
      <w:sz w:val="19"/>
      <w:szCs w:val="18"/>
    </w:rPr>
  </w:style>
  <w:style w:type="paragraph" w:customStyle="1" w:styleId="TableText">
    <w:name w:val="Table Text"/>
    <w:basedOn w:val="Normal"/>
    <w:uiPriority w:val="14"/>
    <w:qFormat/>
    <w:rsid w:val="00B436EC"/>
    <w:pPr>
      <w:spacing w:before="60" w:after="60" w:line="264" w:lineRule="auto"/>
    </w:pPr>
    <w:rPr>
      <w:rFonts w:ascii="Arial" w:eastAsiaTheme="minorHAnsi" w:hAnsi="Arial"/>
      <w:sz w:val="19"/>
      <w:szCs w:val="18"/>
    </w:rPr>
  </w:style>
  <w:style w:type="paragraph" w:customStyle="1" w:styleId="NoteIndent">
    <w:name w:val="Note Indent"/>
    <w:basedOn w:val="Normal"/>
    <w:uiPriority w:val="22"/>
    <w:qFormat/>
    <w:rsid w:val="007D4809"/>
    <w:pPr>
      <w:numPr>
        <w:numId w:val="5"/>
      </w:numPr>
      <w:tabs>
        <w:tab w:val="left" w:pos="357"/>
      </w:tabs>
      <w:spacing w:before="60" w:after="60" w:line="264" w:lineRule="auto"/>
    </w:pPr>
    <w:rPr>
      <w:rFonts w:ascii="Arial" w:eastAsiaTheme="minorHAnsi" w:hAnsi="Arial"/>
      <w:sz w:val="16"/>
      <w:szCs w:val="18"/>
    </w:rPr>
  </w:style>
  <w:style w:type="numbering" w:customStyle="1" w:styleId="ImportedStyle2">
    <w:name w:val="Imported Style 2"/>
    <w:rsid w:val="007D4809"/>
    <w:pPr>
      <w:numPr>
        <w:numId w:val="6"/>
      </w:numPr>
    </w:pPr>
  </w:style>
  <w:style w:type="character" w:customStyle="1" w:styleId="Italics">
    <w:name w:val="Italics"/>
    <w:basedOn w:val="DefaultParagraphFont"/>
    <w:uiPriority w:val="1"/>
    <w:qFormat/>
    <w:rsid w:val="00DC7335"/>
    <w:rPr>
      <w:i/>
    </w:rPr>
  </w:style>
  <w:style w:type="paragraph" w:customStyle="1" w:styleId="Body">
    <w:name w:val="Body"/>
    <w:rsid w:val="00DC7335"/>
    <w:pPr>
      <w:spacing w:before="120" w:after="120" w:line="264" w:lineRule="auto"/>
    </w:pPr>
    <w:rPr>
      <w:rFonts w:ascii="Arial" w:eastAsia="Arial" w:hAnsi="Arial" w:cs="Arial"/>
      <w:color w:val="000000"/>
      <w:sz w:val="19"/>
      <w:szCs w:val="19"/>
      <w:u w:color="00000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C4078"/>
    <w:rPr>
      <w:color w:val="800080" w:themeColor="followedHyperlink"/>
      <w:u w:val="single"/>
    </w:rPr>
  </w:style>
  <w:style w:type="paragraph" w:styleId="NoSpacing">
    <w:name w:val="No Spacing"/>
    <w:aliases w:val="Table headings"/>
    <w:basedOn w:val="Normal"/>
    <w:link w:val="NoSpacingChar"/>
    <w:uiPriority w:val="1"/>
    <w:qFormat/>
    <w:rsid w:val="00B515E3"/>
    <w:pPr>
      <w:tabs>
        <w:tab w:val="left" w:pos="3220"/>
      </w:tabs>
      <w:spacing w:after="240"/>
    </w:pPr>
    <w:rPr>
      <w:rFonts w:ascii="Arial" w:hAnsi="Arial" w:cs="Arial"/>
      <w:b/>
      <w:color w:val="FFFFFF" w:themeColor="background1"/>
      <w:sz w:val="22"/>
      <w:szCs w:val="22"/>
      <w:lang w:val="en-US"/>
    </w:rPr>
  </w:style>
  <w:style w:type="character" w:customStyle="1" w:styleId="NoSpacingChar">
    <w:name w:val="No Spacing Char"/>
    <w:aliases w:val="Table headings Char"/>
    <w:basedOn w:val="DefaultParagraphFont"/>
    <w:link w:val="NoSpacing"/>
    <w:uiPriority w:val="1"/>
    <w:rsid w:val="00B515E3"/>
    <w:rPr>
      <w:rFonts w:ascii="Arial" w:hAnsi="Arial" w:cs="Arial"/>
      <w:b/>
      <w:color w:val="FFFFFF" w:themeColor="background1"/>
      <w:sz w:val="22"/>
      <w:szCs w:val="22"/>
      <w:lang w:val="en-US"/>
    </w:rPr>
  </w:style>
  <w:style w:type="character" w:customStyle="1" w:styleId="ListParagraphChar">
    <w:name w:val="List Paragraph Char"/>
    <w:aliases w:val="Coloured chapter page dot points Char"/>
    <w:basedOn w:val="DefaultParagraphFont"/>
    <w:link w:val="ListParagraph"/>
    <w:uiPriority w:val="34"/>
    <w:locked/>
    <w:rsid w:val="00B515E3"/>
    <w:rPr>
      <w:rFonts w:ascii="Arial" w:hAnsi="Arial" w:cs="Arial"/>
      <w:sz w:val="22"/>
      <w:szCs w:val="22"/>
      <w:lang w:val="en-US"/>
    </w:rPr>
  </w:style>
  <w:style w:type="character" w:styleId="BookTitle">
    <w:name w:val="Book Title"/>
    <w:aliases w:val="Body text dot points"/>
    <w:uiPriority w:val="33"/>
    <w:qFormat/>
    <w:rsid w:val="00B515E3"/>
    <w:rPr>
      <w:color w:va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70AC"/>
    <w:pPr>
      <w:spacing w:before="120" w:after="240"/>
    </w:pPr>
    <w:rPr>
      <w:rFonts w:ascii="Times New Roman" w:eastAsia="Times New Roman" w:hAnsi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9570AC"/>
    <w:rPr>
      <w:b w:val="0"/>
      <w:bCs w:val="0"/>
      <w:i/>
      <w:iCs/>
    </w:rPr>
  </w:style>
  <w:style w:type="paragraph" w:styleId="ListBullet">
    <w:name w:val="List Bullet"/>
    <w:basedOn w:val="Normal"/>
    <w:uiPriority w:val="9"/>
    <w:rsid w:val="00CF7A8F"/>
    <w:pPr>
      <w:numPr>
        <w:numId w:val="13"/>
      </w:numPr>
      <w:tabs>
        <w:tab w:val="clear" w:pos="360"/>
        <w:tab w:val="left" w:pos="357"/>
      </w:tabs>
      <w:spacing w:before="60" w:after="60" w:line="264" w:lineRule="auto"/>
      <w:ind w:left="357" w:hanging="357"/>
    </w:pPr>
    <w:rPr>
      <w:rFonts w:ascii="Arial" w:eastAsiaTheme="minorHAnsi" w:hAnsi="Arial"/>
      <w:sz w:val="19"/>
      <w:szCs w:val="18"/>
    </w:rPr>
  </w:style>
  <w:style w:type="numbering" w:customStyle="1" w:styleId="ImportedStyle3">
    <w:name w:val="Imported Style 3"/>
    <w:rsid w:val="00CF7A8F"/>
    <w:pPr>
      <w:numPr>
        <w:numId w:val="14"/>
      </w:numPr>
    </w:pPr>
  </w:style>
  <w:style w:type="paragraph" w:styleId="FootnoteText">
    <w:name w:val="footnote text"/>
    <w:basedOn w:val="Normal"/>
    <w:link w:val="FootnoteTextChar"/>
    <w:semiHidden/>
    <w:unhideWhenUsed/>
    <w:rsid w:val="00A610D2"/>
    <w:rPr>
      <w:rFonts w:ascii="Arial" w:eastAsia="Times New Roman" w:hAnsi="Arial" w:cs="Times New Roman"/>
      <w:sz w:val="20"/>
      <w:szCs w:val="20"/>
      <w:lang w:val="en-US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A610D2"/>
    <w:rPr>
      <w:rFonts w:ascii="Arial" w:eastAsia="Times New Roman" w:hAnsi="Arial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semiHidden/>
    <w:unhideWhenUsed/>
    <w:rsid w:val="00A610D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0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610D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dr">
    <w:name w:val="adr"/>
    <w:basedOn w:val="DefaultParagraphFont"/>
    <w:rsid w:val="00C5466C"/>
  </w:style>
  <w:style w:type="character" w:customStyle="1" w:styleId="type2">
    <w:name w:val="type2"/>
    <w:basedOn w:val="DefaultParagraphFont"/>
    <w:rsid w:val="00C5466C"/>
  </w:style>
  <w:style w:type="character" w:customStyle="1" w:styleId="street-address2">
    <w:name w:val="street-address2"/>
    <w:basedOn w:val="DefaultParagraphFont"/>
    <w:rsid w:val="00C5466C"/>
  </w:style>
  <w:style w:type="character" w:customStyle="1" w:styleId="locality">
    <w:name w:val="locality"/>
    <w:basedOn w:val="DefaultParagraphFont"/>
    <w:rsid w:val="00C5466C"/>
  </w:style>
  <w:style w:type="character" w:customStyle="1" w:styleId="postal-code">
    <w:name w:val="postal-code"/>
    <w:basedOn w:val="DefaultParagraphFont"/>
    <w:rsid w:val="00C5466C"/>
  </w:style>
  <w:style w:type="character" w:customStyle="1" w:styleId="value">
    <w:name w:val="value"/>
    <w:basedOn w:val="DefaultParagraphFont"/>
    <w:rsid w:val="00C5466C"/>
  </w:style>
  <w:style w:type="character" w:customStyle="1" w:styleId="street-extended">
    <w:name w:val="street-extended"/>
    <w:basedOn w:val="DefaultParagraphFont"/>
    <w:rsid w:val="00C5466C"/>
  </w:style>
  <w:style w:type="paragraph" w:styleId="TOC4">
    <w:name w:val="toc 4"/>
    <w:basedOn w:val="Normal"/>
    <w:next w:val="Normal"/>
    <w:autoRedefine/>
    <w:uiPriority w:val="39"/>
    <w:unhideWhenUsed/>
    <w:rsid w:val="00F7793B"/>
    <w:pPr>
      <w:spacing w:after="100" w:line="259" w:lineRule="auto"/>
      <w:ind w:left="660"/>
    </w:pPr>
    <w:rPr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7793B"/>
    <w:pPr>
      <w:spacing w:after="100" w:line="259" w:lineRule="auto"/>
      <w:ind w:left="880"/>
    </w:pPr>
    <w:rPr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F7793B"/>
    <w:pPr>
      <w:spacing w:after="100" w:line="259" w:lineRule="auto"/>
      <w:ind w:left="1100"/>
    </w:pPr>
    <w:rPr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7793B"/>
    <w:pPr>
      <w:spacing w:after="100" w:line="259" w:lineRule="auto"/>
      <w:ind w:left="1320"/>
    </w:pPr>
    <w:rPr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7793B"/>
    <w:pPr>
      <w:spacing w:after="100" w:line="259" w:lineRule="auto"/>
      <w:ind w:left="1540"/>
    </w:pPr>
    <w:rPr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7793B"/>
    <w:pPr>
      <w:spacing w:after="100" w:line="259" w:lineRule="auto"/>
      <w:ind w:left="1760"/>
    </w:pPr>
    <w:rPr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064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2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3.xml" Type="http://schemas.openxmlformats.org/officeDocument/2006/relationships/header"/>
<Relationship Id="rId13" Target="footer3.xml" Type="http://schemas.openxmlformats.org/officeDocument/2006/relationships/footer"/>
<Relationship Id="rId14" Target="fontTable.xml" Type="http://schemas.openxmlformats.org/officeDocument/2006/relationships/fontTable"/>
<Relationship Id="rId15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A8B1-3EC4-4756-B5D2-9A0FC095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 Safety, Youth and Women</vt:lpstr>
    </vt:vector>
  </TitlesOfParts>
  <Company>DCSYW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corporate publication</cp:category>
  <dcterms:created xsi:type="dcterms:W3CDTF">2018-10-24T05:11:00Z</dcterms:created>
  <dc:creator>Queensland Government</dc:creator>
  <cp:keywords>financial performance; compliance; reporting requirements</cp:keywords>
  <cp:lastModifiedBy>Janelle M Kirk</cp:lastModifiedBy>
  <cp:lastPrinted>2018-09-27T04:33:00Z</cp:lastPrinted>
  <dcterms:modified xsi:type="dcterms:W3CDTF">2018-10-24T05:18:00Z</dcterms:modified>
  <cp:revision>4</cp:revision>
  <dc:subject>Annual Report 2017-18</dc:subject>
  <dc:title>Annual Report - Appendix 5</dc:title>
</cp:coreProperties>
</file>