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BE" w:rsidRPr="00022D2E" w:rsidRDefault="0071068B" w:rsidP="00022D2E">
      <w:pPr>
        <w:pStyle w:val="Heading1"/>
        <w:spacing w:before="0" w:after="0" w:line="560" w:lineRule="exact"/>
        <w:jc w:val="center"/>
        <w:rPr>
          <w:i/>
          <w:sz w:val="40"/>
        </w:rPr>
      </w:pPr>
      <w:r w:rsidRPr="00022D2E">
        <w:rPr>
          <w:i/>
          <w:sz w:val="40"/>
        </w:rPr>
        <w:t xml:space="preserve">Next Step </w:t>
      </w:r>
      <w:proofErr w:type="gramStart"/>
      <w:r w:rsidRPr="00022D2E">
        <w:rPr>
          <w:i/>
          <w:sz w:val="40"/>
        </w:rPr>
        <w:t>Plus</w:t>
      </w:r>
      <w:proofErr w:type="gramEnd"/>
      <w:r w:rsidRPr="00022D2E">
        <w:rPr>
          <w:i/>
          <w:sz w:val="40"/>
        </w:rPr>
        <w:t xml:space="preserve"> – Enhancing Transition from Care</w:t>
      </w:r>
    </w:p>
    <w:p w:rsidR="00022D2E" w:rsidRPr="00795D2B" w:rsidRDefault="00A01CB0" w:rsidP="00795D2B">
      <w:pPr>
        <w:pStyle w:val="Heading1"/>
        <w:spacing w:before="120" w:line="560" w:lineRule="exact"/>
        <w:jc w:val="center"/>
        <w:rPr>
          <w:sz w:val="36"/>
          <w:szCs w:val="36"/>
        </w:rPr>
        <w:sectPr w:rsidR="00022D2E" w:rsidRPr="00795D2B" w:rsidSect="00900982">
          <w:headerReference w:type="default" r:id="rId7"/>
          <w:pgSz w:w="11906" w:h="16838"/>
          <w:pgMar w:top="2234" w:right="1134" w:bottom="2268" w:left="1134" w:header="709" w:footer="1474" w:gutter="0"/>
          <w:cols w:space="709"/>
          <w:docGrid w:linePitch="360"/>
        </w:sectPr>
      </w:pPr>
      <w:bookmarkStart w:id="0" w:name="_GoBack"/>
      <w:r w:rsidRPr="00795D2B">
        <w:rPr>
          <w:sz w:val="36"/>
          <w:szCs w:val="36"/>
        </w:rPr>
        <w:t>2019-20 Budget Outcomes</w:t>
      </w:r>
    </w:p>
    <w:bookmarkEnd w:id="0"/>
    <w:p w:rsidR="00272CB4" w:rsidRDefault="00272CB4" w:rsidP="00272CB4">
      <w:pPr>
        <w:spacing w:before="120" w:after="0"/>
      </w:pPr>
      <w:r>
        <w:t xml:space="preserve">The Queensland Government has approved an enhancement to funding for Next Step of $2.5 million over the next three years. </w:t>
      </w:r>
    </w:p>
    <w:p w:rsidR="00272CB4" w:rsidRDefault="00272CB4" w:rsidP="00272CB4">
      <w:pPr>
        <w:spacing w:before="120" w:after="0"/>
      </w:pPr>
      <w:r>
        <w:t>This brings the total funding to Next Step to approximately $4.75 million per annum.</w:t>
      </w:r>
    </w:p>
    <w:p w:rsidR="00272CB4" w:rsidRDefault="00272CB4" w:rsidP="00272CB4">
      <w:pPr>
        <w:spacing w:before="120" w:after="0"/>
      </w:pPr>
    </w:p>
    <w:p w:rsidR="0071068B" w:rsidRDefault="0071068B" w:rsidP="00022D2E">
      <w:pPr>
        <w:pStyle w:val="Heading2"/>
        <w:spacing w:before="0" w:after="0"/>
      </w:pPr>
      <w:r>
        <w:t xml:space="preserve">What is </w:t>
      </w:r>
      <w:r w:rsidR="005352EC">
        <w:t>“</w:t>
      </w:r>
      <w:r>
        <w:t>Next Step</w:t>
      </w:r>
      <w:r w:rsidR="005352EC">
        <w:t>”</w:t>
      </w:r>
      <w:r>
        <w:t>?</w:t>
      </w:r>
    </w:p>
    <w:p w:rsidR="00272CB4" w:rsidRDefault="00272CB4" w:rsidP="00272CB4">
      <w:pPr>
        <w:spacing w:before="120" w:after="0"/>
      </w:pPr>
      <w:r>
        <w:t>Transitioning to adulthood can be a difficult and challenging period in the lives of all young people, regardless of whether they have a care experience.</w:t>
      </w:r>
    </w:p>
    <w:p w:rsidR="00272CB4" w:rsidRDefault="00272CB4" w:rsidP="00272CB4">
      <w:pPr>
        <w:spacing w:before="120" w:after="0"/>
      </w:pPr>
      <w:r>
        <w:t xml:space="preserve">While some young people go on to enjoy a successful adulthood, research has found this is not the experience for the majority of those who have had a care experience, as a result of instability, fewer natural supports, lack of family and cultural connections, and the effects of past trauma. </w:t>
      </w:r>
    </w:p>
    <w:p w:rsidR="0071068B" w:rsidRDefault="00B6210A" w:rsidP="00022D2E">
      <w:pPr>
        <w:spacing w:before="120" w:after="0"/>
      </w:pPr>
      <w:r>
        <w:t xml:space="preserve">Next Step </w:t>
      </w:r>
      <w:proofErr w:type="gramStart"/>
      <w:r w:rsidR="004D3D18" w:rsidRPr="004D3D18">
        <w:t>After</w:t>
      </w:r>
      <w:proofErr w:type="gramEnd"/>
      <w:r w:rsidR="004D3D18" w:rsidRPr="004D3D18">
        <w:t xml:space="preserve"> Care </w:t>
      </w:r>
      <w:r w:rsidR="004D3D18">
        <w:t>is a state</w:t>
      </w:r>
      <w:r w:rsidR="00022D2E">
        <w:t>-</w:t>
      </w:r>
      <w:r w:rsidR="004D3D18">
        <w:t xml:space="preserve">wide service funded by the Department of Child Safety, Youth and Women to provide support </w:t>
      </w:r>
      <w:r w:rsidR="004D3D18" w:rsidRPr="004D3D18">
        <w:t>to young people aged 15-2</w:t>
      </w:r>
      <w:r w:rsidR="004D3D18">
        <w:t>5</w:t>
      </w:r>
      <w:r w:rsidR="004D3D18" w:rsidRPr="004D3D18">
        <w:t xml:space="preserve"> in their transition from care to adulthood.</w:t>
      </w:r>
    </w:p>
    <w:p w:rsidR="004D3D18" w:rsidRDefault="004D3D18" w:rsidP="00022D2E">
      <w:pPr>
        <w:spacing w:before="120" w:after="0"/>
      </w:pPr>
      <w:r>
        <w:t xml:space="preserve">The service is </w:t>
      </w:r>
      <w:r w:rsidR="00386B6E">
        <w:t>a collaborative</w:t>
      </w:r>
      <w:r>
        <w:t xml:space="preserve"> </w:t>
      </w:r>
      <w:r w:rsidR="00386B6E" w:rsidRPr="00386B6E">
        <w:t>initiative delivered by a group of four funded non</w:t>
      </w:r>
      <w:r w:rsidR="003D5D2F">
        <w:noBreakHyphen/>
      </w:r>
      <w:r w:rsidR="00386B6E">
        <w:t>government organisations</w:t>
      </w:r>
      <w:r w:rsidR="00386B6E" w:rsidRPr="00386B6E">
        <w:t xml:space="preserve">, under the leadership of Life </w:t>
      </w:r>
      <w:proofErr w:type="gramStart"/>
      <w:r w:rsidR="00386B6E" w:rsidRPr="00386B6E">
        <w:t>Without</w:t>
      </w:r>
      <w:proofErr w:type="gramEnd"/>
      <w:r w:rsidR="00386B6E" w:rsidRPr="00386B6E">
        <w:t xml:space="preserve"> Barriers</w:t>
      </w:r>
      <w:r w:rsidR="00386B6E">
        <w:t xml:space="preserve">. </w:t>
      </w:r>
    </w:p>
    <w:p w:rsidR="00272CB4" w:rsidRDefault="00272CB4" w:rsidP="00272CB4">
      <w:pPr>
        <w:spacing w:before="120" w:after="0"/>
      </w:pPr>
      <w:r>
        <w:t>Next Step provides vital supports for young people who have left care, including: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r>
        <w:t>managing money and entitlements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r>
        <w:t>finding somewhere to stay and the ins and outs of housing and accommodation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r>
        <w:t>training, jobs and preparing a resume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r>
        <w:t>keeping safe, strong and healthy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r>
        <w:t>relationships, including friends and family</w:t>
      </w:r>
    </w:p>
    <w:p w:rsidR="00272CB4" w:rsidRDefault="00272CB4" w:rsidP="00272CB4">
      <w:pPr>
        <w:numPr>
          <w:ilvl w:val="0"/>
          <w:numId w:val="4"/>
        </w:numPr>
        <w:spacing w:before="120" w:after="0"/>
      </w:pPr>
      <w:proofErr w:type="gramStart"/>
      <w:r>
        <w:t>legal</w:t>
      </w:r>
      <w:proofErr w:type="gramEnd"/>
      <w:r>
        <w:t xml:space="preserve"> advice.</w:t>
      </w:r>
    </w:p>
    <w:p w:rsidR="00386B6E" w:rsidRDefault="00386B6E" w:rsidP="00022D2E">
      <w:pPr>
        <w:spacing w:before="120" w:after="0"/>
      </w:pPr>
      <w:r>
        <w:t>Next Step delivers a range of targeted services, practical support and crisis assistance via: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>a state-wide Connections program accessed online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>1800 number for information, referral and support for telephone support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>tailored Individual Support available at 10 locations across Queensland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proofErr w:type="gramStart"/>
      <w:r>
        <w:t>brokerage</w:t>
      </w:r>
      <w:proofErr w:type="gramEnd"/>
      <w:r>
        <w:t xml:space="preserve"> funds.</w:t>
      </w:r>
    </w:p>
    <w:p w:rsidR="00386B6E" w:rsidRDefault="00386B6E" w:rsidP="00C205F9">
      <w:pPr>
        <w:spacing w:before="180" w:after="0"/>
      </w:pPr>
      <w:r>
        <w:t>The Next Step vision is for young people with a care experience to have access to support that enables them to: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>develop maturity, skills and connections needed to successfully participate as adult members of society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>have safe and enduring connections with community and culture</w:t>
      </w:r>
    </w:p>
    <w:p w:rsidR="00022D2E" w:rsidRDefault="00386B6E" w:rsidP="00022D2E">
      <w:pPr>
        <w:numPr>
          <w:ilvl w:val="0"/>
          <w:numId w:val="4"/>
        </w:numPr>
        <w:spacing w:before="120" w:after="0"/>
        <w:ind w:left="357" w:hanging="357"/>
      </w:pPr>
      <w:r>
        <w:t xml:space="preserve">pursue </w:t>
      </w:r>
      <w:r w:rsidR="00022D2E">
        <w:t>education, training and employment goals, and</w:t>
      </w:r>
    </w:p>
    <w:p w:rsidR="00386B6E" w:rsidRDefault="00386B6E" w:rsidP="00022D2E">
      <w:pPr>
        <w:numPr>
          <w:ilvl w:val="0"/>
          <w:numId w:val="4"/>
        </w:numPr>
        <w:spacing w:before="120" w:after="0"/>
        <w:ind w:left="357" w:hanging="357"/>
      </w:pPr>
      <w:proofErr w:type="gramStart"/>
      <w:r>
        <w:t>achieve</w:t>
      </w:r>
      <w:proofErr w:type="gramEnd"/>
      <w:r>
        <w:t xml:space="preserve"> hopes and dreams.</w:t>
      </w:r>
    </w:p>
    <w:p w:rsidR="0042112F" w:rsidRDefault="0042112F" w:rsidP="0042112F">
      <w:pPr>
        <w:spacing w:before="120" w:after="0"/>
      </w:pPr>
      <w:r>
        <w:t xml:space="preserve">In October 2018, amendments to the </w:t>
      </w:r>
      <w:r w:rsidRPr="0042112F">
        <w:rPr>
          <w:i/>
        </w:rPr>
        <w:t>Child Protection Act</w:t>
      </w:r>
      <w:r>
        <w:t xml:space="preserve"> commenced that enable continuing support to young people with a care experience to the age of 25 years.</w:t>
      </w:r>
    </w:p>
    <w:p w:rsidR="0042112F" w:rsidRDefault="00C205F9" w:rsidP="00C205F9">
      <w:pPr>
        <w:spacing w:before="120" w:after="0"/>
      </w:pPr>
      <w:r>
        <w:t xml:space="preserve">The Government has already announced the extension of foster and kinship care allowances in 2019 for children turning 18 </w:t>
      </w:r>
      <w:proofErr w:type="gramStart"/>
      <w:r>
        <w:t>during</w:t>
      </w:r>
      <w:proofErr w:type="gramEnd"/>
      <w:r>
        <w:t xml:space="preserve"> year 12, to allow them to stay with their carer and complete school. </w:t>
      </w:r>
    </w:p>
    <w:p w:rsidR="00C205F9" w:rsidRDefault="00C205F9" w:rsidP="00C205F9">
      <w:pPr>
        <w:spacing w:before="120" w:after="0"/>
      </w:pPr>
    </w:p>
    <w:p w:rsidR="00A72C57" w:rsidRDefault="004624BE" w:rsidP="00022D2E">
      <w:pPr>
        <w:pStyle w:val="Heading2"/>
        <w:spacing w:before="0" w:after="0"/>
      </w:pPr>
      <w:r>
        <w:t>What has been approved?</w:t>
      </w:r>
    </w:p>
    <w:p w:rsidR="00022D2E" w:rsidRDefault="0071068B" w:rsidP="00022D2E">
      <w:pPr>
        <w:spacing w:before="120" w:after="0"/>
      </w:pPr>
      <w:r>
        <w:t xml:space="preserve">New funding will commence from early 2020 to coincide with the rollout of the </w:t>
      </w:r>
      <w:r w:rsidR="00FA0E9D">
        <w:t xml:space="preserve">redesigned Next Step </w:t>
      </w:r>
      <w:r w:rsidR="00022D2E">
        <w:t xml:space="preserve">Plus </w:t>
      </w:r>
      <w:r w:rsidR="00FA0E9D">
        <w:t>program</w:t>
      </w:r>
      <w:r w:rsidR="00022D2E">
        <w:t xml:space="preserve">. </w:t>
      </w:r>
      <w:r w:rsidR="00FA0E9D">
        <w:t xml:space="preserve"> </w:t>
      </w:r>
    </w:p>
    <w:p w:rsidR="0071068B" w:rsidRDefault="00022D2E" w:rsidP="00022D2E">
      <w:pPr>
        <w:spacing w:before="120" w:after="0"/>
      </w:pPr>
      <w:r>
        <w:lastRenderedPageBreak/>
        <w:t xml:space="preserve">This is </w:t>
      </w:r>
      <w:r w:rsidR="00FA0E9D">
        <w:t>being developed in collaboration with children and young people, current Next Step providers, peak bodies</w:t>
      </w:r>
      <w:r w:rsidR="00C205F9">
        <w:t>,</w:t>
      </w:r>
      <w:r w:rsidR="00FA0E9D">
        <w:t xml:space="preserve"> and other </w:t>
      </w:r>
      <w:r w:rsidR="00C205F9">
        <w:t xml:space="preserve">agencies and </w:t>
      </w:r>
      <w:r w:rsidR="00FA0E9D">
        <w:t xml:space="preserve">stakeholders. </w:t>
      </w:r>
    </w:p>
    <w:p w:rsidR="00C205F9" w:rsidRDefault="00C205F9" w:rsidP="00022D2E">
      <w:pPr>
        <w:spacing w:before="120" w:after="0"/>
      </w:pPr>
      <w:r>
        <w:t>Next Step Plus will feature stronger partnerships with other government, community and corporate entities, including Aboriginal and Torres Strait Islander community controlled organisations.</w:t>
      </w:r>
    </w:p>
    <w:p w:rsidR="00795D2B" w:rsidRDefault="00795D2B" w:rsidP="00022D2E">
      <w:pPr>
        <w:spacing w:before="120" w:after="0"/>
      </w:pPr>
      <w:r>
        <w:t>I</w:t>
      </w:r>
      <w:r w:rsidR="003D5D2F" w:rsidRPr="003D5D2F">
        <w:t xml:space="preserve">nvestment </w:t>
      </w:r>
      <w:r>
        <w:t xml:space="preserve">will continue </w:t>
      </w:r>
      <w:r w:rsidR="003D5D2F" w:rsidRPr="003D5D2F">
        <w:t>in the Strengthening Health Assessment Pathways project with Queensland Health and Primary Health Networks</w:t>
      </w:r>
      <w:r>
        <w:t xml:space="preserve">. Two </w:t>
      </w:r>
      <w:r w:rsidR="003D5D2F" w:rsidRPr="003D5D2F">
        <w:t>new locations for the Navigate Your Health pilot</w:t>
      </w:r>
      <w:r>
        <w:t xml:space="preserve"> will be established to </w:t>
      </w:r>
      <w:r w:rsidR="00C90AE4">
        <w:t>help better connect</w:t>
      </w:r>
      <w:r w:rsidR="003D5D2F" w:rsidRPr="003D5D2F">
        <w:t xml:space="preserve"> young people to the health supports they need before they exit care. </w:t>
      </w:r>
    </w:p>
    <w:p w:rsidR="003D5D2F" w:rsidRPr="004624BE" w:rsidRDefault="003D5D2F" w:rsidP="00022D2E">
      <w:pPr>
        <w:spacing w:before="120" w:after="0"/>
      </w:pPr>
      <w:r w:rsidRPr="003D5D2F">
        <w:t>Next Step Plus will also complement improved pathway planning with the Department of Housing and Public Works</w:t>
      </w:r>
      <w:r w:rsidR="00795D2B">
        <w:t xml:space="preserve">. This will </w:t>
      </w:r>
      <w:r w:rsidRPr="003D5D2F">
        <w:t>ensure young people transitioning to adulthood can access safe and affordable housing</w:t>
      </w:r>
      <w:r w:rsidR="00795D2B">
        <w:t xml:space="preserve"> so that they can </w:t>
      </w:r>
      <w:r w:rsidRPr="003D5D2F">
        <w:t xml:space="preserve">focus on their education and securing a job, </w:t>
      </w:r>
      <w:r w:rsidR="00795D2B">
        <w:t xml:space="preserve">rather than </w:t>
      </w:r>
      <w:r w:rsidRPr="003D5D2F">
        <w:t>worry</w:t>
      </w:r>
      <w:r w:rsidR="00795D2B">
        <w:t xml:space="preserve">ing </w:t>
      </w:r>
      <w:r w:rsidRPr="003D5D2F">
        <w:t>about where they’ll sleep that night.</w:t>
      </w:r>
    </w:p>
    <w:p w:rsidR="004624BE" w:rsidRDefault="004624BE" w:rsidP="00022D2E">
      <w:pPr>
        <w:pStyle w:val="Heading2"/>
        <w:spacing w:after="0"/>
      </w:pPr>
      <w:r>
        <w:t xml:space="preserve">Why </w:t>
      </w:r>
      <w:r w:rsidR="00022D2E">
        <w:t>more investment</w:t>
      </w:r>
      <w:r>
        <w:t>?</w:t>
      </w:r>
    </w:p>
    <w:p w:rsidR="00C205F9" w:rsidRDefault="00C205F9" w:rsidP="00022D2E">
      <w:pPr>
        <w:spacing w:before="120" w:after="0"/>
      </w:pPr>
      <w:r>
        <w:t xml:space="preserve">Young people leaving care deserve similar supports to those that </w:t>
      </w:r>
      <w:r w:rsidR="00795D2B">
        <w:t xml:space="preserve">most </w:t>
      </w:r>
      <w:r>
        <w:t xml:space="preserve">parents provide their own children </w:t>
      </w:r>
      <w:r w:rsidR="00795D2B">
        <w:t xml:space="preserve">when </w:t>
      </w:r>
      <w:r>
        <w:t>the</w:t>
      </w:r>
      <w:r w:rsidR="00795D2B">
        <w:t>y</w:t>
      </w:r>
      <w:r>
        <w:t xml:space="preserve"> transition to adulthood.</w:t>
      </w:r>
    </w:p>
    <w:p w:rsidR="00E71405" w:rsidRDefault="00FA0E9D" w:rsidP="00022D2E">
      <w:pPr>
        <w:spacing w:before="120" w:after="0"/>
      </w:pPr>
      <w:r>
        <w:t>In late 2017, Griffith University finalised an evaluation of Next Step</w:t>
      </w:r>
      <w:r w:rsidR="0063611E">
        <w:t>,</w:t>
      </w:r>
      <w:r>
        <w:t xml:space="preserve"> which found the service provided valuable support to young people in their transition from care, but could be improved through:</w:t>
      </w:r>
    </w:p>
    <w:p w:rsidR="00FA0E9D" w:rsidRDefault="00FA0E9D" w:rsidP="00022D2E">
      <w:pPr>
        <w:numPr>
          <w:ilvl w:val="0"/>
          <w:numId w:val="5"/>
        </w:numPr>
        <w:spacing w:before="120" w:after="0"/>
      </w:pPr>
      <w:r>
        <w:t>greater focus on culturally safe and responsive support</w:t>
      </w:r>
    </w:p>
    <w:p w:rsidR="00FA0E9D" w:rsidRDefault="00FA0E9D" w:rsidP="00022D2E">
      <w:pPr>
        <w:numPr>
          <w:ilvl w:val="0"/>
          <w:numId w:val="5"/>
        </w:numPr>
        <w:spacing w:before="120" w:after="0"/>
      </w:pPr>
      <w:r>
        <w:t xml:space="preserve">more assertive outreach to vulnerable young people </w:t>
      </w:r>
    </w:p>
    <w:p w:rsidR="00C205F9" w:rsidRDefault="00C205F9" w:rsidP="00022D2E">
      <w:pPr>
        <w:numPr>
          <w:ilvl w:val="0"/>
          <w:numId w:val="5"/>
        </w:numPr>
        <w:spacing w:before="120" w:after="0"/>
      </w:pPr>
      <w:r>
        <w:t>greater matching of services to the needs of most disadvantaged young people who are least likely to have ongoing support</w:t>
      </w:r>
    </w:p>
    <w:p w:rsidR="00022D2E" w:rsidRDefault="00FA0E9D" w:rsidP="00C205F9">
      <w:pPr>
        <w:numPr>
          <w:ilvl w:val="0"/>
          <w:numId w:val="5"/>
        </w:numPr>
        <w:spacing w:before="120" w:after="0"/>
      </w:pPr>
      <w:proofErr w:type="gramStart"/>
      <w:r>
        <w:t>better</w:t>
      </w:r>
      <w:proofErr w:type="gramEnd"/>
      <w:r>
        <w:t xml:space="preserve"> integration with Child Safety and to form connections with young people as they turn 15.</w:t>
      </w:r>
    </w:p>
    <w:p w:rsidR="004624BE" w:rsidRDefault="004624BE" w:rsidP="004624BE">
      <w:pPr>
        <w:pStyle w:val="Heading2"/>
      </w:pPr>
      <w:r>
        <w:t>How will this support young people in care?</w:t>
      </w:r>
    </w:p>
    <w:p w:rsidR="00C205F9" w:rsidRDefault="00C205F9" w:rsidP="00C205F9">
      <w:pPr>
        <w:spacing w:before="120" w:after="0"/>
      </w:pPr>
      <w:r>
        <w:t xml:space="preserve">Next Step is being redesigned in response to these findings, and the extension of eligibility for support from 21 to 25 years of age in line with changes to the </w:t>
      </w:r>
      <w:r w:rsidRPr="0034323A">
        <w:rPr>
          <w:i/>
        </w:rPr>
        <w:t xml:space="preserve">Child Protection Act 1999 </w:t>
      </w:r>
      <w:r>
        <w:t>in 2018.</w:t>
      </w:r>
    </w:p>
    <w:p w:rsidR="0034323A" w:rsidRPr="004624BE" w:rsidRDefault="0034323A" w:rsidP="00C205F9">
      <w:pPr>
        <w:spacing w:before="120" w:after="0"/>
      </w:pPr>
      <w:r>
        <w:t xml:space="preserve">The redesign and funding enhancement will ensure help and guidance is available for young people who do not have strong adult support networks when they transition from care. </w:t>
      </w:r>
    </w:p>
    <w:p w:rsidR="000A3239" w:rsidRPr="00E95571" w:rsidRDefault="000A3239" w:rsidP="00C205F9">
      <w:pPr>
        <w:spacing w:before="120" w:after="0"/>
      </w:pPr>
      <w:r>
        <w:t xml:space="preserve">The redesign </w:t>
      </w:r>
      <w:r w:rsidR="0034323A">
        <w:t xml:space="preserve">will pay particular attention to </w:t>
      </w:r>
      <w:r w:rsidR="007E46CB">
        <w:t xml:space="preserve">the </w:t>
      </w:r>
      <w:r>
        <w:t xml:space="preserve">critical gaps identified through the evaluation </w:t>
      </w:r>
      <w:r w:rsidR="0034323A">
        <w:t xml:space="preserve">so that </w:t>
      </w:r>
      <w:r>
        <w:t xml:space="preserve">young people who have been in care </w:t>
      </w:r>
      <w:r w:rsidR="0034323A">
        <w:t xml:space="preserve">are able to </w:t>
      </w:r>
      <w:r>
        <w:t>achieve greater life outcomes.</w:t>
      </w:r>
    </w:p>
    <w:p w:rsidR="004624BE" w:rsidRPr="004624BE" w:rsidRDefault="004624BE" w:rsidP="0042112F">
      <w:pPr>
        <w:pStyle w:val="Heading2"/>
        <w:spacing w:after="0"/>
      </w:pPr>
      <w:r>
        <w:t xml:space="preserve">How will this </w:t>
      </w:r>
      <w:r w:rsidR="004D3D18">
        <w:t>initiative</w:t>
      </w:r>
      <w:r>
        <w:t xml:space="preserve"> be implemented?</w:t>
      </w:r>
    </w:p>
    <w:p w:rsidR="0034323A" w:rsidRDefault="000A3239" w:rsidP="00C205F9">
      <w:pPr>
        <w:spacing w:before="120" w:after="0"/>
      </w:pPr>
      <w:r>
        <w:t xml:space="preserve">The redesign process will take place in mid-2019. </w:t>
      </w:r>
      <w:r w:rsidR="0034323A">
        <w:t>R</w:t>
      </w:r>
      <w:r>
        <w:t>ecommissioning of Next Step i</w:t>
      </w:r>
      <w:r w:rsidR="0034323A">
        <w:t xml:space="preserve">s expected to be complete by the end of </w:t>
      </w:r>
      <w:r>
        <w:t>2019</w:t>
      </w:r>
    </w:p>
    <w:p w:rsidR="004624BE" w:rsidRDefault="0034323A" w:rsidP="00C205F9">
      <w:pPr>
        <w:spacing w:before="120" w:after="0"/>
      </w:pPr>
      <w:r>
        <w:t>G</w:t>
      </w:r>
      <w:r w:rsidR="000A3239">
        <w:t xml:space="preserve">reater emphasis </w:t>
      </w:r>
      <w:r>
        <w:t xml:space="preserve">will </w:t>
      </w:r>
      <w:r w:rsidR="000A3239">
        <w:t xml:space="preserve">be placed on partnerships between Aboriginal and Torres Strait Islander community controlled organisations </w:t>
      </w:r>
      <w:r>
        <w:t>and mainstream services so that</w:t>
      </w:r>
      <w:r w:rsidR="000A3239">
        <w:t xml:space="preserve"> Aboriginal and Torres Strait Islander young people</w:t>
      </w:r>
      <w:r w:rsidR="007E46CB">
        <w:t>s</w:t>
      </w:r>
      <w:r w:rsidR="000A3239">
        <w:t>, who make up approximately 40 per cent of children and young people in care</w:t>
      </w:r>
      <w:r>
        <w:t>, have access to more culturally responsive services.</w:t>
      </w:r>
    </w:p>
    <w:p w:rsidR="000A3239" w:rsidRDefault="000A3239" w:rsidP="00C205F9">
      <w:pPr>
        <w:spacing w:before="120" w:after="0"/>
      </w:pPr>
      <w:r>
        <w:t>The new service</w:t>
      </w:r>
      <w:r w:rsidR="007E46CB">
        <w:t>,</w:t>
      </w:r>
      <w:r>
        <w:t xml:space="preserve"> Next Step Plus</w:t>
      </w:r>
      <w:r w:rsidR="007E46CB">
        <w:t>,</w:t>
      </w:r>
      <w:r>
        <w:t xml:space="preserve"> will commence in early 2020. </w:t>
      </w:r>
    </w:p>
    <w:p w:rsidR="00CF3AB7" w:rsidRPr="00A72C57" w:rsidRDefault="00CF3AB7" w:rsidP="00A72C57">
      <w:pPr>
        <w:rPr>
          <w:lang w:val="en-US"/>
        </w:rPr>
      </w:pPr>
    </w:p>
    <w:p w:rsidR="00A72C57" w:rsidRPr="00A72C57" w:rsidRDefault="00A72C57" w:rsidP="00A72C57">
      <w:pPr>
        <w:rPr>
          <w:lang w:val="en-US"/>
        </w:rPr>
      </w:pPr>
    </w:p>
    <w:sectPr w:rsidR="00A72C57" w:rsidRPr="00A72C57" w:rsidSect="00C205F9">
      <w:type w:val="continuous"/>
      <w:pgSz w:w="11906" w:h="16838"/>
      <w:pgMar w:top="2234" w:right="1134" w:bottom="1276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BB" w:rsidRDefault="00092ABB">
      <w:r>
        <w:separator/>
      </w:r>
    </w:p>
  </w:endnote>
  <w:endnote w:type="continuationSeparator" w:id="0">
    <w:p w:rsidR="00092ABB" w:rsidRDefault="000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BB" w:rsidRDefault="00092ABB">
      <w:r>
        <w:separator/>
      </w:r>
    </w:p>
  </w:footnote>
  <w:footnote w:type="continuationSeparator" w:id="0">
    <w:p w:rsidR="00092ABB" w:rsidRDefault="0009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71" w:rsidRDefault="00E732DB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900" cy="10693400"/>
          <wp:effectExtent l="0" t="0" r="0" b="0"/>
          <wp:wrapNone/>
          <wp:docPr id="23" name="Picture 23" descr="DCSYW Factsheet Port_colourTopOnly_A4 OCT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CSYW Factsheet Port_colourTopOnly_A4 OCT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6FB"/>
    <w:multiLevelType w:val="hybridMultilevel"/>
    <w:tmpl w:val="82FEE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7E40"/>
    <w:multiLevelType w:val="hybridMultilevel"/>
    <w:tmpl w:val="E7AE963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3925"/>
    <w:multiLevelType w:val="hybridMultilevel"/>
    <w:tmpl w:val="DBD4EE0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556D4"/>
    <w:multiLevelType w:val="hybridMultilevel"/>
    <w:tmpl w:val="BBE4B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43898"/>
    <w:multiLevelType w:val="hybridMultilevel"/>
    <w:tmpl w:val="A1D63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2D2E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2EB6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6BF6"/>
    <w:rsid w:val="00077D38"/>
    <w:rsid w:val="000818DE"/>
    <w:rsid w:val="000829FC"/>
    <w:rsid w:val="0008615F"/>
    <w:rsid w:val="00087D53"/>
    <w:rsid w:val="000915B0"/>
    <w:rsid w:val="00091807"/>
    <w:rsid w:val="00092ABB"/>
    <w:rsid w:val="00092B8A"/>
    <w:rsid w:val="00093226"/>
    <w:rsid w:val="000940F2"/>
    <w:rsid w:val="00095398"/>
    <w:rsid w:val="000957D1"/>
    <w:rsid w:val="000958D1"/>
    <w:rsid w:val="000A1A2A"/>
    <w:rsid w:val="000A3239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5FA8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5893"/>
    <w:rsid w:val="001D7B03"/>
    <w:rsid w:val="001E043D"/>
    <w:rsid w:val="001E413A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2CB4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2090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43D8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5570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23A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2A09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6B6E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5D2F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12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6B4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4BE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3D18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76E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2EC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16FA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7B8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611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6D14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01B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068B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5D2B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2828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46CB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666C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5D4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6567"/>
    <w:rsid w:val="00A01078"/>
    <w:rsid w:val="00A01C47"/>
    <w:rsid w:val="00A01C84"/>
    <w:rsid w:val="00A01CB0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5DC1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47C"/>
    <w:rsid w:val="00B265ED"/>
    <w:rsid w:val="00B31112"/>
    <w:rsid w:val="00B31EEC"/>
    <w:rsid w:val="00B34CD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10A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5F9"/>
    <w:rsid w:val="00C24C1D"/>
    <w:rsid w:val="00C25738"/>
    <w:rsid w:val="00C25974"/>
    <w:rsid w:val="00C26C63"/>
    <w:rsid w:val="00C274C4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F8F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0AE4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162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3AB7"/>
    <w:rsid w:val="00CF67EC"/>
    <w:rsid w:val="00CF6BDB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0D20"/>
    <w:rsid w:val="00E112EE"/>
    <w:rsid w:val="00E12EA0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1401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05"/>
    <w:rsid w:val="00E714D0"/>
    <w:rsid w:val="00E732DB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5571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3EE7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0B44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0E9D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chartTrackingRefBased/>
  <w15:docId w15:val="{9F077C32-A848-4762-9E4B-2D46167C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rsid w:val="006361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611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36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11E"/>
    <w:rPr>
      <w:sz w:val="20"/>
      <w:szCs w:val="20"/>
    </w:rPr>
  </w:style>
  <w:style w:type="character" w:customStyle="1" w:styleId="CommentTextChar">
    <w:name w:val="Comment Text Char"/>
    <w:link w:val="CommentText"/>
    <w:rsid w:val="006361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3611E"/>
    <w:rPr>
      <w:b/>
      <w:bCs/>
    </w:rPr>
  </w:style>
  <w:style w:type="character" w:customStyle="1" w:styleId="CommentSubjectChar">
    <w:name w:val="Comment Subject Char"/>
    <w:link w:val="CommentSubject"/>
    <w:rsid w:val="006361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portrait A4 purple</vt:lpstr>
    </vt:vector>
  </TitlesOfParts>
  <Manager/>
  <Company>Queensland Government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 Plus – Enhancing Transition from Care - 2019-20 Budget Outcomes</dc:title>
  <dc:subject>Next Step Plus – Enhancing Transition from Care</dc:subject>
  <dc:creator>Queensland Government</dc:creator>
  <cp:keywords>Next Step Plus, Enhancing Transition from Care, 2019-20 Budget Outcomes</cp:keywords>
  <dc:description/>
  <cp:lastModifiedBy>Amanda Schneider</cp:lastModifiedBy>
  <cp:revision>3</cp:revision>
  <dcterms:created xsi:type="dcterms:W3CDTF">2019-06-12T00:30:00Z</dcterms:created>
  <dcterms:modified xsi:type="dcterms:W3CDTF">2019-06-12T00:31:00Z</dcterms:modified>
  <cp:category>template</cp:category>
</cp:coreProperties>
</file>