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704" w:val="left" w:leader="none"/>
        </w:tabs>
        <w:spacing w:line="240" w:lineRule="auto"/>
        <w:ind w:left="107" w:right="0" w:firstLine="0"/>
        <w:rPr>
          <w:rFonts w:ascii="Times New Roman"/>
          <w:sz w:val="20"/>
        </w:rPr>
      </w:pPr>
      <w:r>
        <w:rPr/>
        <w:pict>
          <v:shapetype id="_x0000_t202" o:spt="202" coordsize="21600,21600" path="m,l,21600r21600,l21600,xe">
            <v:stroke joinstyle="miter"/>
            <v:path gradientshapeok="t" o:connecttype="rect"/>
          </v:shapetype>
          <v:shape style="position:absolute;margin-left:72.024002pt;margin-top:34.042599pt;width:141.35pt;height:786.05pt;mso-position-horizontal-relative:page;mso-position-vertical-relative:page;z-index:-258267136" type="#_x0000_t202" filled="false" stroked="false">
            <v:textbox inset="0,0,0,0">
              <w:txbxContent>
                <w:p>
                  <w:pPr>
                    <w:spacing w:line="169" w:lineRule="exact" w:before="0"/>
                    <w:ind w:left="0" w:right="0" w:firstLine="0"/>
                    <w:jc w:val="left"/>
                    <w:rPr>
                      <w:sz w:val="14"/>
                    </w:rPr>
                  </w:pPr>
                  <w:r>
                    <w:rPr>
                      <w:sz w:val="14"/>
                    </w:rPr>
                    <w:t>Our Way Changing Tracks – Final</w:t>
                  </w:r>
                  <w:r>
                    <w:rPr>
                      <w:spacing w:val="-13"/>
                      <w:sz w:val="14"/>
                    </w:rPr>
                    <w:t> </w:t>
                  </w:r>
                  <w:r>
                    <w:rPr>
                      <w:sz w:val="14"/>
                    </w:rPr>
                    <w:t>report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5"/>
                    </w:rPr>
                  </w:pPr>
                </w:p>
                <w:p>
                  <w:pPr>
                    <w:spacing w:before="0"/>
                    <w:ind w:left="0" w:right="0" w:firstLine="0"/>
                    <w:jc w:val="left"/>
                    <w:rPr>
                      <w:sz w:val="16"/>
                    </w:rPr>
                  </w:pPr>
                  <w:r>
                    <w:rPr>
                      <w:w w:val="100"/>
                      <w:sz w:val="16"/>
                    </w:rPr>
                    <w:t>1</w:t>
                  </w:r>
                </w:p>
              </w:txbxContent>
            </v:textbox>
            <w10:wrap type="none"/>
          </v:shape>
        </w:pict>
      </w:r>
      <w:r>
        <w:rPr/>
        <w:pict>
          <v:rect style="position:absolute;margin-left:0pt;margin-top:0pt;width:595.320pt;height:841.9198pt;mso-position-horizontal-relative:page;mso-position-vertical-relative:page;z-index:-258266112" filled="true" fillcolor="#ffffff" stroked="false">
            <v:fill type="solid"/>
            <w10:wrap type="none"/>
          </v:rect>
        </w:pict>
      </w:r>
      <w:r>
        <w:rPr>
          <w:rFonts w:ascii="Times New Roman"/>
          <w:position w:val="71"/>
          <w:sz w:val="20"/>
        </w:rPr>
        <w:pict>
          <v:group style="width:134.050pt;height:26.75pt;mso-position-horizontal-relative:char;mso-position-vertical-relative:line" coordorigin="0,0" coordsize="2681,535">
            <v:shape style="position:absolute;left:0;top:1;width:435;height:526" coordorigin="0,1" coordsize="435,526" path="m177,1l0,1,0,527,166,527,227,522,280,509,326,487,365,456,396,417,399,410,139,410,139,116,405,116,398,102,369,66,331,38,287,17,236,5,177,1xm405,116l178,116,205,118,228,125,248,136,264,151,276,170,284,195,290,224,292,258,290,294,284,326,275,352,261,373,245,389,224,401,199,408,170,410,399,410,418,370,431,315,435,253,431,195,419,145,405,116xe" filled="true" fillcolor="#000000" stroked="false">
              <v:path arrowok="t"/>
              <v:fill type="solid"/>
            </v:shape>
            <v:line style="position:absolute" from="961,0" to="961,527" stroked="true" strokeweight="6.62683pt" strokecolor="#000000">
              <v:stroke dashstyle="solid"/>
            </v:line>
            <v:shape style="position:absolute;left:1079;top:127;width:382;height:407" coordorigin="1080,128" coordsize="382,407" path="m1271,128l1228,131,1191,141,1158,158,1130,181,1108,210,1092,245,1083,285,1080,330,1083,375,1092,414,1108,449,1130,479,1158,503,1191,520,1228,531,1270,534,1313,531,1350,521,1383,504,1411,480,1433,450,1440,434,1271,434,1257,432,1244,427,1234,419,1227,408,1221,393,1217,375,1214,354,1213,330,1214,307,1217,286,1221,269,1227,254,1234,243,1244,235,1256,231,1270,229,1441,229,1439,223,1425,201,1409,182,1392,166,1371,152,1349,141,1325,134,1299,129,1271,128xm1441,229l1270,229,1284,231,1297,235,1307,243,1315,254,1320,269,1324,286,1326,307,1327,330,1326,354,1324,375,1320,393,1315,408,1307,419,1297,427,1285,432,1271,434,1440,434,1449,416,1458,376,1462,330,1460,301,1455,273,1448,247,1441,229xe" filled="true" fillcolor="#000000" stroked="false">
              <v:path arrowok="t"/>
              <v:fill type="solid"/>
            </v:shape>
            <v:line style="position:absolute" from="1580,135" to="1580,527" stroked="true" strokeweight="6.566443pt" strokecolor="#000000">
              <v:stroke dashstyle="solid"/>
            </v:line>
            <v:rect style="position:absolute;left:1514;top:0;width:132;height:87" filled="true" fillcolor="#000000" stroked="false">
              <v:fill type="solid"/>
            </v:rect>
            <v:shape style="position:absolute;left:1698;top:10;width:280;height:524" coordorigin="1699,11" coordsize="280,524" path="m1878,236l1745,236,1745,398,1746,430,1752,458,1761,482,1775,500,1791,515,1813,526,1839,532,1870,534,1886,534,1901,533,1914,532,1927,529,1939,526,1952,522,1965,518,1978,513,1978,427,1915,427,1899,425,1887,418,1881,406,1878,389,1878,236xm1978,414l1960,419,1943,423,1928,426,1915,427,1978,427,1978,414xm1963,135l1699,135,1699,236,1963,236,1963,135xm1878,11l1745,35,1745,135,1878,135,1878,11xe" filled="true" fillcolor="#000000" stroked="false">
              <v:path arrowok="t"/>
              <v:fill type="solid"/>
            </v:shape>
            <v:shape style="position:absolute;left:2004;top:10;width:279;height:507" coordorigin="2005,11" coordsize="279,507" path="m2184,236l2051,236,2051,398,2053,430,2058,458,2067,482,2081,500,2098,515,2102,517,2283,438,2283,427,2219,427,2204,425,2193,418,2187,406,2184,389,2184,236xm2283,414l2266,419,2249,423,2234,426,2219,427,2283,427,2283,414xm2269,135l2005,135,2005,236,2269,236,2269,135xm2184,11l2051,32,2051,135,2184,135,2184,11xe" filled="true" fillcolor="#000000" stroked="false">
              <v:path arrowok="t"/>
              <v:fill type="solid"/>
            </v:shape>
            <v:shape style="position:absolute;left:2314;top:127;width:367;height:291" type="#_x0000_t75" stroked="false">
              <v:imagedata r:id="rId6" o:title=""/>
            </v:shape>
            <v:shape style="position:absolute;left:474;top:127;width:370;height:407" coordorigin="475,128" coordsize="370,407" path="m664,128l621,131,583,141,551,158,524,181,503,210,487,246,478,287,475,334,478,379,488,419,505,453,528,482,557,505,591,521,631,531,676,534,699,534,719,533,738,531,755,528,772,524,788,519,804,513,819,505,804,438,692,438,674,437,658,433,644,428,631,420,622,409,615,397,611,383,608,368,845,368,845,307,843,282,611,282,613,267,617,254,622,243,629,235,638,229,647,224,657,221,669,219,828,219,818,200,798,174,772,154,741,139,705,131,664,128xm799,417l788,421,777,425,767,428,757,430,741,434,725,436,709,437,692,438,804,438,799,417xm828,219l669,219,681,221,691,224,701,229,708,236,715,246,720,257,723,269,724,282,843,282,842,267,833,231,828,219xe" filled="true" fillcolor="#000000" stroked="false">
              <v:path arrowok="t"/>
              <v:fill type="solid"/>
            </v:shape>
          </v:group>
        </w:pict>
      </w:r>
      <w:r>
        <w:rPr>
          <w:rFonts w:ascii="Times New Roman"/>
          <w:position w:val="71"/>
          <w:sz w:val="20"/>
        </w:rPr>
      </w:r>
      <w:r>
        <w:rPr>
          <w:rFonts w:ascii="Times New Roman"/>
          <w:position w:val="71"/>
          <w:sz w:val="20"/>
        </w:rPr>
        <w:tab/>
      </w:r>
      <w:r>
        <w:rPr>
          <w:rFonts w:ascii="Times New Roman"/>
          <w:sz w:val="20"/>
        </w:rPr>
        <w:drawing>
          <wp:inline distT="0" distB="0" distL="0" distR="0">
            <wp:extent cx="1683055" cy="1261491"/>
            <wp:effectExtent l="0" t="0" r="0" b="0"/>
            <wp:docPr id="1" name="image2.jpeg" descr="Logo, company name  Description automatically generated"/>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1683055" cy="1261491"/>
                    </a:xfrm>
                    <a:prstGeom prst="rect">
                      <a:avLst/>
                    </a:prstGeom>
                  </pic:spPr>
                </pic:pic>
              </a:graphicData>
            </a:graphic>
          </wp:inline>
        </w:drawing>
      </w:r>
      <w:r>
        <w:rPr>
          <w:rFonts w:ascii="Times New Roman"/>
          <w:sz w:val="20"/>
        </w:rPr>
      </w:r>
    </w:p>
    <w:p>
      <w:pPr>
        <w:pStyle w:val="BodyText"/>
        <w:spacing w:before="5"/>
        <w:rPr>
          <w:rFonts w:ascii="Times New Roman"/>
          <w:sz w:val="22"/>
        </w:rPr>
      </w:pPr>
      <w:r>
        <w:rPr/>
        <w:drawing>
          <wp:anchor distT="0" distB="0" distL="0" distR="0" allowOverlap="1" layoutInCell="1" locked="0" behindDoc="0" simplePos="0" relativeHeight="1">
            <wp:simplePos x="0" y="0"/>
            <wp:positionH relativeFrom="page">
              <wp:posOffset>5734050</wp:posOffset>
            </wp:positionH>
            <wp:positionV relativeFrom="paragraph">
              <wp:posOffset>189001</wp:posOffset>
            </wp:positionV>
            <wp:extent cx="1136216" cy="448436"/>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1136216" cy="44843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1"/>
        <w:rPr>
          <w:rFonts w:ascii="Times New Roman"/>
          <w:sz w:val="11"/>
        </w:rPr>
      </w:pPr>
      <w:r>
        <w:rPr/>
        <w:drawing>
          <wp:anchor distT="0" distB="0" distL="0" distR="0" allowOverlap="1" layoutInCell="1" locked="0" behindDoc="0" simplePos="0" relativeHeight="2">
            <wp:simplePos x="0" y="0"/>
            <wp:positionH relativeFrom="page">
              <wp:posOffset>1028700</wp:posOffset>
            </wp:positionH>
            <wp:positionV relativeFrom="paragraph">
              <wp:posOffset>105917</wp:posOffset>
            </wp:positionV>
            <wp:extent cx="5048013" cy="5037201"/>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5048013" cy="503720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6"/>
        </w:rPr>
      </w:pPr>
    </w:p>
    <w:p>
      <w:pPr>
        <w:spacing w:line="273" w:lineRule="auto" w:before="99"/>
        <w:ind w:left="102" w:right="4373" w:firstLine="0"/>
        <w:jc w:val="left"/>
        <w:rPr>
          <w:b/>
          <w:i/>
          <w:sz w:val="32"/>
        </w:rPr>
      </w:pPr>
      <w:r>
        <w:rPr>
          <w:b/>
          <w:i/>
          <w:sz w:val="32"/>
        </w:rPr>
        <w:t>Our Way Changing Tracks – Final </w:t>
      </w:r>
      <w:r>
        <w:rPr>
          <w:b/>
          <w:i/>
          <w:sz w:val="32"/>
        </w:rPr>
        <w:t>report</w:t>
      </w:r>
    </w:p>
    <w:p>
      <w:pPr>
        <w:spacing w:line="309" w:lineRule="auto" w:before="45"/>
        <w:ind w:left="102" w:right="4342" w:firstLine="0"/>
        <w:jc w:val="left"/>
        <w:rPr>
          <w:sz w:val="28"/>
        </w:rPr>
      </w:pPr>
      <w:r>
        <w:rPr/>
        <w:pict>
          <v:group style="position:absolute;margin-left:407.109833pt;margin-top:4.558821pt;width:72.55pt;height:15.05pt;mso-position-horizontal-relative:page;mso-position-vertical-relative:paragraph;z-index:-258265088" coordorigin="8142,91" coordsize="1451,301">
            <v:shape style="position:absolute;left:8142;top:109;width:232;height:279" type="#_x0000_t75" stroked="false">
              <v:imagedata r:id="rId10" o:title=""/>
            </v:shape>
            <v:shape style="position:absolute;left:8404;top:171;width:197;height:222" type="#_x0000_t75" stroked="false">
              <v:imagedata r:id="rId11" o:title=""/>
            </v:shape>
            <v:line style="position:absolute" from="8668,91" to="8668,388" stroked="true" strokeweight="2.935682pt" strokecolor="#000000">
              <v:stroke dashstyle="solid"/>
            </v:line>
            <v:shape style="position:absolute;left:8734;top:171;width:207;height:222" type="#_x0000_t75" stroked="false">
              <v:imagedata r:id="rId12" o:title=""/>
            </v:shape>
            <v:shape style="position:absolute;left:8975;top:91;width:618;height:301" type="#_x0000_t75" stroked="false">
              <v:imagedata r:id="rId13" o:title=""/>
            </v:shape>
            <w10:wrap type="none"/>
          </v:group>
        </w:pict>
      </w:r>
      <w:r>
        <w:rPr/>
        <w:pict>
          <v:group style="position:absolute;margin-left:405.368835pt;margin-top:24.139639pt;width:56.95pt;height:14.2pt;mso-position-horizontal-relative:page;mso-position-vertical-relative:paragraph;z-index:-258264064" coordorigin="8107,483" coordsize="1139,284">
            <v:shape style="position:absolute;left:8107;top:482;width:780;height:284" type="#_x0000_t75" stroked="false">
              <v:imagedata r:id="rId14" o:title=""/>
            </v:shape>
            <v:shape style="position:absolute;left:8918;top:549;width:149;height:217" type="#_x0000_t75" stroked="false">
              <v:imagedata r:id="rId15" o:title=""/>
            </v:shape>
            <v:shape style="position:absolute;left:9096;top:549;width:149;height:217" type="#_x0000_t75" stroked="false">
              <v:imagedata r:id="rId16" o:title=""/>
            </v:shape>
            <w10:wrap type="none"/>
          </v:group>
        </w:pict>
      </w:r>
      <w:r>
        <w:rPr/>
        <w:pict>
          <v:group style="position:absolute;margin-left:467.053833pt;margin-top:23.286547pt;width:96.1pt;height:15.05pt;mso-position-horizontal-relative:page;mso-position-vertical-relative:paragraph;z-index:-258263040" coordorigin="9341,466" coordsize="1922,301">
            <v:line style="position:absolute" from="9341,739" to="9502,739" stroked="true" strokeweight="2.39913pt" strokecolor="#80c342">
              <v:stroke dashstyle="solid"/>
            </v:line>
            <v:rect style="position:absolute;left:9341;top:641;width:60;height:74" filled="true" fillcolor="#80c342" stroked="false">
              <v:fill type="solid"/>
            </v:rect>
            <v:line style="position:absolute" from="9341,617" to="9495,617" stroked="true" strokeweight="2.39913pt" strokecolor="#80c342">
              <v:stroke dashstyle="solid"/>
            </v:line>
            <v:rect style="position:absolute;left:9341;top:531;width:60;height:62" filled="true" fillcolor="#80c342" stroked="false">
              <v:fill type="solid"/>
            </v:rect>
            <v:line style="position:absolute" from="9341,507" to="9502,507" stroked="true" strokeweight="2.39913pt" strokecolor="#80c342">
              <v:stroke dashstyle="solid"/>
            </v:line>
            <v:shape style="position:absolute;left:9532;top:545;width:395;height:222" type="#_x0000_t75" stroked="false">
              <v:imagedata r:id="rId17" o:title=""/>
            </v:shape>
            <v:shape style="position:absolute;left:9963;top:545;width:198;height:217" type="#_x0000_t75" stroked="false">
              <v:imagedata r:id="rId18" o:title=""/>
            </v:shape>
            <v:shape style="position:absolute;left:10196;top:545;width:207;height:222" type="#_x0000_t75" stroked="false">
              <v:imagedata r:id="rId19" o:title=""/>
            </v:shape>
            <v:shape style="position:absolute;left:10440;top:545;width:324;height:217" type="#_x0000_t75" stroked="false">
              <v:imagedata r:id="rId20" o:title=""/>
            </v:shape>
            <v:shape style="position:absolute;left:10809;top:465;width:64;height:297" coordorigin="10810,466" coordsize="64,297" path="m10841,466l10827,468,10817,473,10812,482,10810,494,10812,507,10817,516,10827,521,10841,523,10852,523,10859,520,10865,516,10870,510,10873,503,10873,494,10871,482,10865,473,10855,468,10841,466xm10870,550l10812,550,10812,763,10870,763,10870,550xe" filled="true" fillcolor="#80c342" stroked="false">
              <v:path arrowok="t"/>
              <v:fill type="solid"/>
            </v:shape>
            <v:shape style="position:absolute;left:10907;top:545;width:355;height:222" type="#_x0000_t75" stroked="false">
              <v:imagedata r:id="rId21" o:title=""/>
            </v:shape>
            <w10:wrap type="none"/>
          </v:group>
        </w:pict>
      </w:r>
      <w:r>
        <w:rPr>
          <w:sz w:val="28"/>
        </w:rPr>
        <w:t>Department of Children, Youth Justice and Multicultural Affairs</w:t>
      </w:r>
    </w:p>
    <w:p>
      <w:pPr>
        <w:pStyle w:val="BodyText"/>
        <w:spacing w:before="21"/>
        <w:ind w:left="102"/>
      </w:pPr>
      <w:r>
        <w:rPr/>
        <w:t>July 2022</w:t>
      </w:r>
    </w:p>
    <w:p>
      <w:pPr>
        <w:spacing w:after="0"/>
        <w:sectPr>
          <w:headerReference w:type="default" r:id="rId5"/>
          <w:type w:val="continuous"/>
          <w:pgSz w:w="11910" w:h="16840"/>
          <w:pgMar w:header="0" w:top="700" w:bottom="280" w:left="740" w:right="720"/>
        </w:sectPr>
      </w:pPr>
    </w:p>
    <w:p>
      <w:pPr>
        <w:pStyle w:val="BodyText"/>
        <w:rPr>
          <w:sz w:val="20"/>
        </w:rPr>
      </w:pPr>
    </w:p>
    <w:p>
      <w:pPr>
        <w:pStyle w:val="BodyText"/>
        <w:rPr>
          <w:sz w:val="20"/>
        </w:rPr>
      </w:pPr>
    </w:p>
    <w:p>
      <w:pPr>
        <w:pStyle w:val="BodyText"/>
        <w:rPr>
          <w:sz w:val="20"/>
        </w:rPr>
      </w:pPr>
    </w:p>
    <w:p>
      <w:pPr>
        <w:pStyle w:val="Heading1"/>
        <w:spacing w:before="258"/>
      </w:pPr>
      <w:r>
        <w:rPr/>
        <w:t>Contents</w:t>
      </w:r>
    </w:p>
    <w:p>
      <w:pPr>
        <w:pStyle w:val="BodyText"/>
        <w:tabs>
          <w:tab w:pos="9610" w:val="left" w:leader="none"/>
        </w:tabs>
        <w:spacing w:before="579"/>
        <w:ind w:left="700"/>
      </w:pPr>
      <w:hyperlink w:history="true" w:anchor="_bookmark0">
        <w:r>
          <w:rPr/>
          <w:t>Acknowledgement</w:t>
          <w:tab/>
          <w:t>i</w:t>
        </w:r>
      </w:hyperlink>
    </w:p>
    <w:p>
      <w:pPr>
        <w:spacing w:after="0"/>
        <w:sectPr>
          <w:headerReference w:type="default" r:id="rId22"/>
          <w:footerReference w:type="default" r:id="rId23"/>
          <w:pgSz w:w="11910" w:h="16840"/>
          <w:pgMar w:header="664" w:footer="2292" w:top="860" w:bottom="2657" w:left="740" w:right="720"/>
        </w:sectPr>
      </w:pPr>
    </w:p>
    <w:sdt>
      <w:sdtPr>
        <w:docPartObj>
          <w:docPartGallery w:val="Table of Contents"/>
          <w:docPartUnique/>
        </w:docPartObj>
      </w:sdtPr>
      <w:sdtEndPr/>
      <w:sdtContent>
        <w:p>
          <w:pPr>
            <w:pStyle w:val="TOC3"/>
            <w:tabs>
              <w:tab w:pos="9663" w:val="right" w:leader="none"/>
            </w:tabs>
          </w:pPr>
          <w:hyperlink w:history="true" w:anchor="_bookmark1">
            <w:r>
              <w:rPr/>
              <w:t>Limitation of</w:t>
            </w:r>
            <w:r>
              <w:rPr>
                <w:spacing w:val="-6"/>
              </w:rPr>
              <w:t> </w:t>
            </w:r>
            <w:r>
              <w:rPr/>
              <w:t>our</w:t>
            </w:r>
            <w:r>
              <w:rPr>
                <w:spacing w:val="-1"/>
              </w:rPr>
              <w:t> </w:t>
            </w:r>
            <w:r>
              <w:rPr/>
              <w:t>work</w:t>
              <w:tab/>
              <w:t>ii</w:t>
            </w:r>
          </w:hyperlink>
        </w:p>
        <w:p>
          <w:pPr>
            <w:pStyle w:val="TOC4"/>
            <w:tabs>
              <w:tab w:pos="9663" w:val="right" w:leader="none"/>
            </w:tabs>
            <w:spacing w:before="141"/>
            <w:ind w:left="1266" w:firstLine="0"/>
          </w:pPr>
          <w:hyperlink w:history="true" w:anchor="_bookmark2">
            <w:r>
              <w:rPr/>
              <w:t>General</w:t>
            </w:r>
            <w:r>
              <w:rPr>
                <w:spacing w:val="-4"/>
              </w:rPr>
              <w:t> </w:t>
            </w:r>
            <w:r>
              <w:rPr/>
              <w:t>use restriction</w:t>
              <w:tab/>
              <w:t>ii</w:t>
            </w:r>
          </w:hyperlink>
        </w:p>
        <w:p>
          <w:pPr>
            <w:pStyle w:val="TOC3"/>
            <w:tabs>
              <w:tab w:pos="9663" w:val="right" w:leader="none"/>
            </w:tabs>
            <w:spacing w:before="201"/>
          </w:pPr>
          <w:hyperlink w:history="true" w:anchor="_bookmark3">
            <w:r>
              <w:rPr/>
              <w:t>Glossary</w:t>
              <w:tab/>
              <w:t>iii</w:t>
            </w:r>
          </w:hyperlink>
        </w:p>
        <w:p>
          <w:pPr>
            <w:pStyle w:val="TOC3"/>
            <w:tabs>
              <w:tab w:pos="9660" w:val="right" w:leader="none"/>
            </w:tabs>
          </w:pPr>
          <w:hyperlink w:history="true" w:anchor="_bookmark4">
            <w:r>
              <w:rPr/>
              <w:t>Final</w:t>
            </w:r>
            <w:r>
              <w:rPr>
                <w:spacing w:val="-1"/>
              </w:rPr>
              <w:t> </w:t>
            </w:r>
            <w:r>
              <w:rPr/>
              <w:t>report snapshot</w:t>
              <w:tab/>
              <w:t>4</w:t>
            </w:r>
          </w:hyperlink>
        </w:p>
        <w:p>
          <w:pPr>
            <w:pStyle w:val="TOC1"/>
            <w:numPr>
              <w:ilvl w:val="0"/>
              <w:numId w:val="1"/>
            </w:numPr>
            <w:tabs>
              <w:tab w:pos="1266" w:val="left" w:leader="none"/>
              <w:tab w:pos="1267" w:val="left" w:leader="none"/>
              <w:tab w:pos="9660" w:val="right" w:leader="none"/>
            </w:tabs>
            <w:spacing w:line="240" w:lineRule="auto" w:before="223" w:after="0"/>
            <w:ind w:left="1266" w:right="0" w:hanging="567"/>
            <w:jc w:val="left"/>
          </w:pPr>
          <w:hyperlink w:history="true" w:anchor="_bookmark5">
            <w:r>
              <w:rPr/>
              <w:t>Executive</w:t>
            </w:r>
            <w:r>
              <w:rPr>
                <w:spacing w:val="-2"/>
              </w:rPr>
              <w:t> </w:t>
            </w:r>
            <w:r>
              <w:rPr/>
              <w:t>summary</w:t>
              <w:tab/>
              <w:t>5</w:t>
            </w:r>
          </w:hyperlink>
        </w:p>
        <w:p>
          <w:pPr>
            <w:pStyle w:val="TOC6"/>
            <w:tabs>
              <w:tab w:pos="9660" w:val="right" w:leader="none"/>
            </w:tabs>
            <w:spacing w:before="141"/>
            <w:rPr>
              <w:b w:val="0"/>
              <w:i w:val="0"/>
              <w:sz w:val="18"/>
            </w:rPr>
          </w:pPr>
          <w:hyperlink w:history="true" w:anchor="_bookmark8">
            <w:r>
              <w:rPr>
                <w:b w:val="0"/>
                <w:i w:val="0"/>
                <w:sz w:val="18"/>
              </w:rPr>
              <w:t>Key findings on the </w:t>
            </w:r>
            <w:r>
              <w:rPr>
                <w:b w:val="0"/>
                <w:i/>
                <w:sz w:val="18"/>
              </w:rPr>
              <w:t>Our</w:t>
            </w:r>
            <w:r>
              <w:rPr>
                <w:b w:val="0"/>
                <w:i/>
                <w:spacing w:val="-4"/>
                <w:sz w:val="18"/>
              </w:rPr>
              <w:t> </w:t>
            </w:r>
            <w:r>
              <w:rPr>
                <w:b w:val="0"/>
                <w:i/>
                <w:sz w:val="18"/>
              </w:rPr>
              <w:t>Way</w:t>
            </w:r>
            <w:r>
              <w:rPr>
                <w:b w:val="0"/>
                <w:i/>
                <w:spacing w:val="-2"/>
                <w:sz w:val="18"/>
              </w:rPr>
              <w:t> </w:t>
            </w:r>
            <w:r>
              <w:rPr>
                <w:b w:val="0"/>
                <w:i w:val="0"/>
                <w:sz w:val="18"/>
              </w:rPr>
              <w:t>system</w:t>
              <w:tab/>
              <w:t>7</w:t>
            </w:r>
          </w:hyperlink>
        </w:p>
        <w:p>
          <w:pPr>
            <w:pStyle w:val="TOC6"/>
            <w:tabs>
              <w:tab w:pos="9663" w:val="right" w:leader="none"/>
            </w:tabs>
            <w:rPr>
              <w:b w:val="0"/>
              <w:i w:val="0"/>
              <w:sz w:val="18"/>
            </w:rPr>
          </w:pPr>
          <w:hyperlink w:history="true" w:anchor="_bookmark10">
            <w:r>
              <w:rPr>
                <w:b w:val="0"/>
                <w:i w:val="0"/>
                <w:sz w:val="18"/>
              </w:rPr>
              <w:t>Cultural perspectives on</w:t>
            </w:r>
            <w:r>
              <w:rPr>
                <w:b w:val="0"/>
                <w:i w:val="0"/>
                <w:spacing w:val="-1"/>
                <w:sz w:val="18"/>
              </w:rPr>
              <w:t> </w:t>
            </w:r>
            <w:r>
              <w:rPr>
                <w:b w:val="0"/>
                <w:i/>
                <w:sz w:val="18"/>
              </w:rPr>
              <w:t>Our</w:t>
            </w:r>
            <w:r>
              <w:rPr>
                <w:b w:val="0"/>
                <w:i/>
                <w:spacing w:val="-1"/>
                <w:sz w:val="18"/>
              </w:rPr>
              <w:t> </w:t>
            </w:r>
            <w:r>
              <w:rPr>
                <w:b w:val="0"/>
                <w:i/>
                <w:sz w:val="18"/>
              </w:rPr>
              <w:t>Way</w:t>
              <w:tab/>
            </w:r>
            <w:r>
              <w:rPr>
                <w:b w:val="0"/>
                <w:i w:val="0"/>
                <w:sz w:val="18"/>
              </w:rPr>
              <w:t>14</w:t>
            </w:r>
          </w:hyperlink>
        </w:p>
        <w:p>
          <w:pPr>
            <w:pStyle w:val="TOC4"/>
            <w:tabs>
              <w:tab w:pos="9663" w:val="right" w:leader="none"/>
            </w:tabs>
            <w:spacing w:before="22"/>
            <w:ind w:left="1266" w:firstLine="0"/>
          </w:pPr>
          <w:hyperlink w:history="true" w:anchor="_bookmark11">
            <w:r>
              <w:rPr/>
              <w:t>Recommended areas</w:t>
            </w:r>
            <w:r>
              <w:rPr>
                <w:spacing w:val="-3"/>
              </w:rPr>
              <w:t> </w:t>
            </w:r>
            <w:r>
              <w:rPr/>
              <w:t>of</w:t>
            </w:r>
            <w:r>
              <w:rPr>
                <w:spacing w:val="-2"/>
              </w:rPr>
              <w:t> </w:t>
            </w:r>
            <w:r>
              <w:rPr/>
              <w:t>focus</w:t>
              <w:tab/>
              <w:t>16</w:t>
            </w:r>
          </w:hyperlink>
        </w:p>
        <w:p>
          <w:pPr>
            <w:pStyle w:val="TOC4"/>
            <w:tabs>
              <w:tab w:pos="9663" w:val="right" w:leader="none"/>
            </w:tabs>
            <w:ind w:left="1266" w:firstLine="0"/>
          </w:pPr>
          <w:hyperlink w:history="true" w:anchor="_bookmark12">
            <w:r>
              <w:rPr/>
              <w:t>Theory</w:t>
            </w:r>
            <w:r>
              <w:rPr>
                <w:spacing w:val="-2"/>
              </w:rPr>
              <w:t> </w:t>
            </w:r>
            <w:r>
              <w:rPr/>
              <w:t>of</w:t>
            </w:r>
            <w:r>
              <w:rPr>
                <w:spacing w:val="-3"/>
              </w:rPr>
              <w:t> </w:t>
            </w:r>
            <w:r>
              <w:rPr/>
              <w:t>Change</w:t>
              <w:tab/>
              <w:t>17</w:t>
            </w:r>
          </w:hyperlink>
        </w:p>
        <w:p>
          <w:pPr>
            <w:pStyle w:val="TOC4"/>
            <w:tabs>
              <w:tab w:pos="9663" w:val="right" w:leader="none"/>
            </w:tabs>
            <w:ind w:left="1266" w:firstLine="0"/>
          </w:pPr>
          <w:hyperlink w:history="true" w:anchor="_bookmark13">
            <w:r>
              <w:rPr/>
              <w:t>Program</w:t>
            </w:r>
            <w:r>
              <w:rPr>
                <w:spacing w:val="-2"/>
              </w:rPr>
              <w:t> </w:t>
            </w:r>
            <w:r>
              <w:rPr/>
              <w:t>logic</w:t>
            </w:r>
            <w:r>
              <w:rPr>
                <w:spacing w:val="-1"/>
              </w:rPr>
              <w:t> </w:t>
            </w:r>
            <w:r>
              <w:rPr/>
              <w:t>model</w:t>
              <w:tab/>
              <w:t>18</w:t>
            </w:r>
          </w:hyperlink>
        </w:p>
        <w:p>
          <w:pPr>
            <w:pStyle w:val="TOC1"/>
            <w:numPr>
              <w:ilvl w:val="0"/>
              <w:numId w:val="1"/>
            </w:numPr>
            <w:tabs>
              <w:tab w:pos="1266" w:val="left" w:leader="none"/>
              <w:tab w:pos="1267" w:val="left" w:leader="none"/>
              <w:tab w:pos="9663" w:val="right" w:leader="none"/>
            </w:tabs>
            <w:spacing w:line="240" w:lineRule="auto" w:before="201" w:after="0"/>
            <w:ind w:left="1266" w:right="0" w:hanging="567"/>
            <w:jc w:val="left"/>
          </w:pPr>
          <w:hyperlink w:history="true" w:anchor="_bookmark14">
            <w:r>
              <w:rPr/>
              <w:t>Background</w:t>
              <w:tab/>
              <w:t>19</w:t>
            </w:r>
          </w:hyperlink>
        </w:p>
        <w:p>
          <w:pPr>
            <w:pStyle w:val="TOC5"/>
            <w:numPr>
              <w:ilvl w:val="1"/>
              <w:numId w:val="1"/>
            </w:numPr>
            <w:tabs>
              <w:tab w:pos="1833" w:val="left" w:leader="none"/>
              <w:tab w:pos="1834" w:val="left" w:leader="none"/>
              <w:tab w:pos="9663" w:val="right" w:leader="none"/>
            </w:tabs>
            <w:spacing w:line="240" w:lineRule="auto" w:before="142" w:after="0"/>
            <w:ind w:left="1833" w:right="0" w:hanging="568"/>
            <w:jc w:val="left"/>
            <w:rPr>
              <w:i w:val="0"/>
            </w:rPr>
          </w:pPr>
          <w:hyperlink w:history="true" w:anchor="_bookmark15">
            <w:r>
              <w:rPr>
                <w:i/>
              </w:rPr>
              <w:t>Our</w:t>
            </w:r>
            <w:r>
              <w:rPr>
                <w:i/>
                <w:spacing w:val="-1"/>
              </w:rPr>
              <w:t> </w:t>
            </w:r>
            <w:r>
              <w:rPr>
                <w:i/>
              </w:rPr>
              <w:t>Way</w:t>
              <w:tab/>
            </w:r>
            <w:r>
              <w:rPr>
                <w:i w:val="0"/>
              </w:rPr>
              <w:t>19</w:t>
            </w:r>
          </w:hyperlink>
        </w:p>
        <w:p>
          <w:pPr>
            <w:pStyle w:val="TOC6"/>
            <w:numPr>
              <w:ilvl w:val="1"/>
              <w:numId w:val="1"/>
            </w:numPr>
            <w:tabs>
              <w:tab w:pos="1833" w:val="left" w:leader="none"/>
              <w:tab w:pos="1834" w:val="left" w:leader="none"/>
              <w:tab w:pos="9663" w:val="right" w:leader="none"/>
            </w:tabs>
            <w:spacing w:line="240" w:lineRule="auto" w:before="21" w:after="0"/>
            <w:ind w:left="1833" w:right="0" w:hanging="568"/>
            <w:jc w:val="left"/>
            <w:rPr>
              <w:b w:val="0"/>
              <w:i w:val="0"/>
              <w:sz w:val="18"/>
            </w:rPr>
          </w:pPr>
          <w:hyperlink w:history="true" w:anchor="_bookmark16">
            <w:r>
              <w:rPr>
                <w:b w:val="0"/>
                <w:i/>
                <w:sz w:val="18"/>
              </w:rPr>
              <w:t>Changing Tracks</w:t>
            </w:r>
            <w:r>
              <w:rPr>
                <w:b w:val="0"/>
                <w:i/>
                <w:spacing w:val="-3"/>
                <w:sz w:val="18"/>
              </w:rPr>
              <w:t> </w:t>
            </w:r>
            <w:r>
              <w:rPr>
                <w:b w:val="0"/>
                <w:i w:val="0"/>
                <w:sz w:val="18"/>
              </w:rPr>
              <w:t>action plans</w:t>
              <w:tab/>
              <w:t>20</w:t>
            </w:r>
          </w:hyperlink>
        </w:p>
        <w:p>
          <w:pPr>
            <w:pStyle w:val="TOC6"/>
            <w:numPr>
              <w:ilvl w:val="2"/>
              <w:numId w:val="1"/>
            </w:numPr>
            <w:tabs>
              <w:tab w:pos="1960" w:val="left" w:leader="none"/>
              <w:tab w:pos="1961" w:val="left" w:leader="none"/>
              <w:tab w:pos="9663" w:val="right" w:leader="none"/>
            </w:tabs>
            <w:spacing w:line="240" w:lineRule="auto" w:before="122" w:after="0"/>
            <w:ind w:left="1960" w:right="0" w:hanging="695"/>
            <w:jc w:val="left"/>
            <w:rPr>
              <w:b w:val="0"/>
              <w:i w:val="0"/>
              <w:sz w:val="18"/>
            </w:rPr>
          </w:pPr>
          <w:hyperlink w:history="true" w:anchor="_bookmark17">
            <w:r>
              <w:rPr>
                <w:b w:val="0"/>
                <w:i w:val="0"/>
                <w:sz w:val="18"/>
              </w:rPr>
              <w:t>Implementation of the </w:t>
            </w:r>
            <w:r>
              <w:rPr>
                <w:b w:val="0"/>
                <w:i/>
                <w:sz w:val="18"/>
              </w:rPr>
              <w:t>Changing Tracks</w:t>
            </w:r>
            <w:r>
              <w:rPr>
                <w:b w:val="0"/>
                <w:i/>
                <w:spacing w:val="-5"/>
                <w:sz w:val="18"/>
              </w:rPr>
              <w:t> </w:t>
            </w:r>
            <w:r>
              <w:rPr>
                <w:b w:val="0"/>
                <w:i w:val="0"/>
                <w:sz w:val="18"/>
              </w:rPr>
              <w:t>action plans</w:t>
              <w:tab/>
              <w:t>20</w:t>
            </w:r>
          </w:hyperlink>
        </w:p>
        <w:p>
          <w:pPr>
            <w:pStyle w:val="TOC4"/>
            <w:numPr>
              <w:ilvl w:val="2"/>
              <w:numId w:val="1"/>
            </w:numPr>
            <w:tabs>
              <w:tab w:pos="1960" w:val="left" w:leader="none"/>
              <w:tab w:pos="1961" w:val="left" w:leader="none"/>
            </w:tabs>
            <w:spacing w:line="240" w:lineRule="auto" w:before="22" w:after="0"/>
            <w:ind w:left="1960" w:right="0" w:hanging="695"/>
            <w:jc w:val="left"/>
          </w:pPr>
          <w:hyperlink w:history="true" w:anchor="_bookmark19">
            <w:r>
              <w:rPr/>
              <w:t>Context on the Wellbeing Outcomes Framework for Aboriginal and</w:t>
            </w:r>
            <w:r>
              <w:rPr>
                <w:spacing w:val="-11"/>
              </w:rPr>
              <w:t> </w:t>
            </w:r>
            <w:r>
              <w:rPr/>
              <w:t>Torres</w:t>
            </w:r>
          </w:hyperlink>
        </w:p>
        <w:p>
          <w:pPr>
            <w:pStyle w:val="TOC4"/>
            <w:tabs>
              <w:tab w:pos="9663" w:val="right" w:leader="none"/>
            </w:tabs>
            <w:ind w:left="1266" w:firstLine="0"/>
          </w:pPr>
          <w:hyperlink w:history="true" w:anchor="_bookmark19">
            <w:r>
              <w:rPr/>
              <w:t>Strait Islander children and young people</w:t>
            </w:r>
            <w:r>
              <w:rPr>
                <w:spacing w:val="-6"/>
              </w:rPr>
              <w:t> </w:t>
            </w:r>
            <w:r>
              <w:rPr/>
              <w:t>in</w:t>
            </w:r>
            <w:r>
              <w:rPr>
                <w:spacing w:val="-1"/>
              </w:rPr>
              <w:t> </w:t>
            </w:r>
            <w:r>
              <w:rPr/>
              <w:t>Queensland</w:t>
              <w:tab/>
              <w:t>21</w:t>
            </w:r>
          </w:hyperlink>
        </w:p>
        <w:p>
          <w:pPr>
            <w:pStyle w:val="TOC4"/>
            <w:numPr>
              <w:ilvl w:val="1"/>
              <w:numId w:val="1"/>
            </w:numPr>
            <w:tabs>
              <w:tab w:pos="1833" w:val="left" w:leader="none"/>
              <w:tab w:pos="1834" w:val="left" w:leader="none"/>
              <w:tab w:pos="9663" w:val="right" w:leader="none"/>
            </w:tabs>
            <w:spacing w:line="240" w:lineRule="auto" w:before="119" w:after="0"/>
            <w:ind w:left="1833" w:right="0" w:hanging="568"/>
            <w:jc w:val="left"/>
          </w:pPr>
          <w:hyperlink w:history="true" w:anchor="_bookmark20">
            <w:r>
              <w:rPr/>
              <w:t>Broader</w:t>
            </w:r>
            <w:r>
              <w:rPr>
                <w:spacing w:val="-2"/>
              </w:rPr>
              <w:t> </w:t>
            </w:r>
            <w:r>
              <w:rPr/>
              <w:t>policy</w:t>
            </w:r>
            <w:r>
              <w:rPr>
                <w:spacing w:val="-2"/>
              </w:rPr>
              <w:t> </w:t>
            </w:r>
            <w:r>
              <w:rPr/>
              <w:t>context</w:t>
              <w:tab/>
              <w:t>21</w:t>
            </w:r>
          </w:hyperlink>
        </w:p>
        <w:p>
          <w:pPr>
            <w:pStyle w:val="TOC4"/>
            <w:numPr>
              <w:ilvl w:val="2"/>
              <w:numId w:val="1"/>
            </w:numPr>
            <w:tabs>
              <w:tab w:pos="1960" w:val="left" w:leader="none"/>
              <w:tab w:pos="1961" w:val="left" w:leader="none"/>
              <w:tab w:pos="9663" w:val="right" w:leader="none"/>
            </w:tabs>
            <w:spacing w:line="240" w:lineRule="auto" w:before="122" w:after="0"/>
            <w:ind w:left="1960" w:right="0" w:hanging="695"/>
            <w:jc w:val="left"/>
          </w:pPr>
          <w:hyperlink w:history="true" w:anchor="_bookmark21">
            <w:r>
              <w:rPr/>
              <w:t>Queensland</w:t>
            </w:r>
            <w:r>
              <w:rPr>
                <w:spacing w:val="-2"/>
              </w:rPr>
              <w:t> </w:t>
            </w:r>
            <w:r>
              <w:rPr/>
              <w:t>Government strategies</w:t>
              <w:tab/>
              <w:t>21</w:t>
            </w:r>
          </w:hyperlink>
        </w:p>
        <w:p>
          <w:pPr>
            <w:pStyle w:val="TOC4"/>
            <w:numPr>
              <w:ilvl w:val="2"/>
              <w:numId w:val="1"/>
            </w:numPr>
            <w:tabs>
              <w:tab w:pos="1960" w:val="left" w:leader="none"/>
              <w:tab w:pos="1961" w:val="left" w:leader="none"/>
              <w:tab w:pos="9663" w:val="right" w:leader="none"/>
            </w:tabs>
            <w:spacing w:line="240" w:lineRule="auto" w:before="22" w:after="0"/>
            <w:ind w:left="1960" w:right="0" w:hanging="695"/>
            <w:jc w:val="left"/>
          </w:pPr>
          <w:hyperlink w:history="true" w:anchor="_bookmark23">
            <w:r>
              <w:rPr/>
              <w:t>Federal Government strategies</w:t>
            </w:r>
            <w:r>
              <w:rPr>
                <w:spacing w:val="-2"/>
              </w:rPr>
              <w:t> </w:t>
            </w:r>
            <w:r>
              <w:rPr/>
              <w:t>and</w:t>
            </w:r>
            <w:r>
              <w:rPr>
                <w:spacing w:val="-2"/>
              </w:rPr>
              <w:t> </w:t>
            </w:r>
            <w:r>
              <w:rPr/>
              <w:t>initiatives</w:t>
              <w:tab/>
              <w:t>22</w:t>
            </w:r>
          </w:hyperlink>
        </w:p>
        <w:p>
          <w:pPr>
            <w:pStyle w:val="TOC4"/>
            <w:numPr>
              <w:ilvl w:val="2"/>
              <w:numId w:val="1"/>
            </w:numPr>
            <w:tabs>
              <w:tab w:pos="1960" w:val="left" w:leader="none"/>
              <w:tab w:pos="1961" w:val="left" w:leader="none"/>
              <w:tab w:pos="9663" w:val="right" w:leader="none"/>
            </w:tabs>
            <w:spacing w:line="240" w:lineRule="auto" w:before="21" w:after="0"/>
            <w:ind w:left="1960" w:right="0" w:hanging="695"/>
            <w:jc w:val="left"/>
          </w:pPr>
          <w:hyperlink w:history="true" w:anchor="_bookmark24">
            <w:r>
              <w:rPr/>
              <w:t>Context of disruptions in</w:t>
            </w:r>
            <w:r>
              <w:rPr>
                <w:spacing w:val="-7"/>
              </w:rPr>
              <w:t> </w:t>
            </w:r>
            <w:r>
              <w:rPr/>
              <w:t>recent years</w:t>
              <w:tab/>
              <w:t>23</w:t>
            </w:r>
          </w:hyperlink>
        </w:p>
        <w:p>
          <w:pPr>
            <w:pStyle w:val="TOC1"/>
            <w:numPr>
              <w:ilvl w:val="0"/>
              <w:numId w:val="1"/>
            </w:numPr>
            <w:tabs>
              <w:tab w:pos="1266" w:val="left" w:leader="none"/>
              <w:tab w:pos="1267" w:val="left" w:leader="none"/>
              <w:tab w:pos="9663" w:val="right" w:leader="none"/>
            </w:tabs>
            <w:spacing w:line="240" w:lineRule="auto" w:before="201" w:after="0"/>
            <w:ind w:left="1266" w:right="0" w:hanging="567"/>
            <w:jc w:val="left"/>
          </w:pPr>
          <w:hyperlink w:history="true" w:anchor="_bookmark25">
            <w:r>
              <w:rPr/>
              <w:t>Approach</w:t>
              <w:tab/>
              <w:t>25</w:t>
            </w:r>
          </w:hyperlink>
        </w:p>
        <w:p>
          <w:pPr>
            <w:pStyle w:val="TOC4"/>
            <w:numPr>
              <w:ilvl w:val="1"/>
              <w:numId w:val="1"/>
            </w:numPr>
            <w:tabs>
              <w:tab w:pos="1833" w:val="left" w:leader="none"/>
              <w:tab w:pos="1834" w:val="left" w:leader="none"/>
              <w:tab w:pos="9663" w:val="right" w:leader="none"/>
            </w:tabs>
            <w:spacing w:line="240" w:lineRule="auto" w:before="141" w:after="0"/>
            <w:ind w:left="1833" w:right="0" w:hanging="568"/>
            <w:jc w:val="left"/>
          </w:pPr>
          <w:hyperlink w:history="true" w:anchor="_bookmark26">
            <w:r>
              <w:rPr/>
              <w:t>Overview of evaluation approach and findings</w:t>
            </w:r>
            <w:r>
              <w:rPr>
                <w:spacing w:val="-9"/>
              </w:rPr>
              <w:t> </w:t>
            </w:r>
            <w:r>
              <w:rPr/>
              <w:t>to</w:t>
            </w:r>
            <w:r>
              <w:rPr>
                <w:spacing w:val="-1"/>
              </w:rPr>
              <w:t> </w:t>
            </w:r>
            <w:r>
              <w:rPr/>
              <w:t>date</w:t>
              <w:tab/>
              <w:t>25</w:t>
            </w:r>
          </w:hyperlink>
        </w:p>
        <w:p>
          <w:pPr>
            <w:pStyle w:val="TOC4"/>
            <w:numPr>
              <w:ilvl w:val="2"/>
              <w:numId w:val="1"/>
            </w:numPr>
            <w:tabs>
              <w:tab w:pos="1960" w:val="left" w:leader="none"/>
              <w:tab w:pos="1961" w:val="left" w:leader="none"/>
              <w:tab w:pos="9663" w:val="right" w:leader="none"/>
            </w:tabs>
            <w:spacing w:line="240" w:lineRule="auto" w:before="122" w:after="0"/>
            <w:ind w:left="1960" w:right="0" w:hanging="695"/>
            <w:jc w:val="left"/>
          </w:pPr>
          <w:hyperlink w:history="true" w:anchor="_bookmark27">
            <w:r>
              <w:rPr/>
              <w:t>Evaluation</w:t>
            </w:r>
            <w:r>
              <w:rPr>
                <w:spacing w:val="-1"/>
              </w:rPr>
              <w:t> </w:t>
            </w:r>
            <w:r>
              <w:rPr/>
              <w:t>timelines</w:t>
              <w:tab/>
              <w:t>25</w:t>
            </w:r>
          </w:hyperlink>
        </w:p>
        <w:p>
          <w:pPr>
            <w:pStyle w:val="TOC4"/>
            <w:numPr>
              <w:ilvl w:val="1"/>
              <w:numId w:val="1"/>
            </w:numPr>
            <w:tabs>
              <w:tab w:pos="1833" w:val="left" w:leader="none"/>
              <w:tab w:pos="1834" w:val="left" w:leader="none"/>
              <w:tab w:pos="9663" w:val="right" w:leader="none"/>
            </w:tabs>
            <w:spacing w:line="240" w:lineRule="auto" w:before="120" w:after="0"/>
            <w:ind w:left="1833" w:right="0" w:hanging="568"/>
            <w:jc w:val="left"/>
          </w:pPr>
          <w:hyperlink w:history="true" w:anchor="_bookmark29">
            <w:r>
              <w:rPr/>
              <w:t>First phase of the </w:t>
            </w:r>
            <w:r>
              <w:rPr>
                <w:i/>
              </w:rPr>
              <w:t>Our</w:t>
            </w:r>
            <w:r>
              <w:rPr>
                <w:i/>
                <w:spacing w:val="-6"/>
              </w:rPr>
              <w:t> </w:t>
            </w:r>
            <w:r>
              <w:rPr>
                <w:i/>
              </w:rPr>
              <w:t>Way</w:t>
            </w:r>
            <w:r>
              <w:rPr>
                <w:i/>
                <w:spacing w:val="-2"/>
              </w:rPr>
              <w:t> </w:t>
            </w:r>
            <w:r>
              <w:rPr/>
              <w:t>evaluation</w:t>
              <w:tab/>
              <w:t>25</w:t>
            </w:r>
          </w:hyperlink>
        </w:p>
        <w:p>
          <w:pPr>
            <w:pStyle w:val="TOC4"/>
            <w:numPr>
              <w:ilvl w:val="2"/>
              <w:numId w:val="1"/>
            </w:numPr>
            <w:tabs>
              <w:tab w:pos="1960" w:val="left" w:leader="none"/>
              <w:tab w:pos="1961" w:val="left" w:leader="none"/>
              <w:tab w:pos="9663" w:val="right" w:leader="none"/>
            </w:tabs>
            <w:spacing w:line="240" w:lineRule="auto" w:before="123" w:after="0"/>
            <w:ind w:left="1960" w:right="0" w:hanging="695"/>
            <w:jc w:val="left"/>
          </w:pPr>
          <w:hyperlink w:history="true" w:anchor="_bookmark30">
            <w:r>
              <w:rPr/>
              <w:t>Approach of first phase of the </w:t>
            </w:r>
            <w:r>
              <w:rPr>
                <w:i/>
              </w:rPr>
              <w:t>Our</w:t>
            </w:r>
            <w:r>
              <w:rPr>
                <w:i/>
                <w:spacing w:val="-8"/>
              </w:rPr>
              <w:t> </w:t>
            </w:r>
            <w:r>
              <w:rPr>
                <w:i/>
              </w:rPr>
              <w:t>Way</w:t>
            </w:r>
            <w:r>
              <w:rPr>
                <w:i/>
                <w:spacing w:val="-3"/>
              </w:rPr>
              <w:t> </w:t>
            </w:r>
            <w:r>
              <w:rPr/>
              <w:t>evaluation</w:t>
              <w:tab/>
              <w:t>25</w:t>
            </w:r>
          </w:hyperlink>
        </w:p>
        <w:p>
          <w:pPr>
            <w:pStyle w:val="TOC4"/>
            <w:numPr>
              <w:ilvl w:val="2"/>
              <w:numId w:val="1"/>
            </w:numPr>
            <w:tabs>
              <w:tab w:pos="1960" w:val="left" w:leader="none"/>
              <w:tab w:pos="1961" w:val="left" w:leader="none"/>
              <w:tab w:pos="9663" w:val="right" w:leader="none"/>
            </w:tabs>
            <w:spacing w:line="240" w:lineRule="auto" w:before="21" w:after="0"/>
            <w:ind w:left="1960" w:right="0" w:hanging="695"/>
            <w:jc w:val="left"/>
          </w:pPr>
          <w:hyperlink w:history="true" w:anchor="_bookmark31">
            <w:r>
              <w:rPr/>
              <w:t>Summary of findings from the first phase</w:t>
            </w:r>
            <w:r>
              <w:rPr>
                <w:spacing w:val="-13"/>
              </w:rPr>
              <w:t> </w:t>
            </w:r>
            <w:r>
              <w:rPr/>
              <w:t>of</w:t>
            </w:r>
            <w:r>
              <w:rPr>
                <w:spacing w:val="-2"/>
              </w:rPr>
              <w:t> </w:t>
            </w:r>
            <w:r>
              <w:rPr/>
              <w:t>evaluation</w:t>
              <w:tab/>
              <w:t>26</w:t>
            </w:r>
          </w:hyperlink>
        </w:p>
        <w:p>
          <w:pPr>
            <w:pStyle w:val="TOC4"/>
            <w:numPr>
              <w:ilvl w:val="2"/>
              <w:numId w:val="1"/>
            </w:numPr>
            <w:tabs>
              <w:tab w:pos="1960" w:val="left" w:leader="none"/>
              <w:tab w:pos="1961" w:val="left" w:leader="none"/>
              <w:tab w:pos="9663" w:val="right" w:leader="none"/>
            </w:tabs>
            <w:spacing w:line="240" w:lineRule="auto" w:before="21" w:after="0"/>
            <w:ind w:left="1960" w:right="0" w:hanging="695"/>
            <w:jc w:val="left"/>
          </w:pPr>
          <w:hyperlink w:history="true" w:anchor="_bookmark32">
            <w:r>
              <w:rPr/>
              <w:t>Implications of findings from the first phase</w:t>
            </w:r>
            <w:r>
              <w:rPr>
                <w:spacing w:val="-10"/>
              </w:rPr>
              <w:t> </w:t>
            </w:r>
            <w:r>
              <w:rPr/>
              <w:t>of</w:t>
            </w:r>
            <w:r>
              <w:rPr>
                <w:spacing w:val="-2"/>
              </w:rPr>
              <w:t> </w:t>
            </w:r>
            <w:r>
              <w:rPr/>
              <w:t>evaluation</w:t>
              <w:tab/>
              <w:t>27</w:t>
            </w:r>
          </w:hyperlink>
        </w:p>
        <w:p>
          <w:pPr>
            <w:pStyle w:val="TOC4"/>
            <w:numPr>
              <w:ilvl w:val="1"/>
              <w:numId w:val="1"/>
            </w:numPr>
            <w:tabs>
              <w:tab w:pos="1833" w:val="left" w:leader="none"/>
              <w:tab w:pos="1834" w:val="left" w:leader="none"/>
              <w:tab w:pos="9663" w:val="right" w:leader="none"/>
            </w:tabs>
            <w:spacing w:line="240" w:lineRule="auto" w:before="122" w:after="0"/>
            <w:ind w:left="1833" w:right="0" w:hanging="568"/>
            <w:jc w:val="left"/>
          </w:pPr>
          <w:hyperlink w:history="true" w:anchor="_bookmark33">
            <w:r>
              <w:rPr/>
              <w:t>Approach and objective of the second phase</w:t>
            </w:r>
            <w:r>
              <w:rPr>
                <w:spacing w:val="-10"/>
              </w:rPr>
              <w:t> </w:t>
            </w:r>
            <w:r>
              <w:rPr/>
              <w:t>of</w:t>
            </w:r>
            <w:r>
              <w:rPr>
                <w:spacing w:val="-3"/>
              </w:rPr>
              <w:t> </w:t>
            </w:r>
            <w:r>
              <w:rPr/>
              <w:t>evaluation</w:t>
              <w:tab/>
              <w:t>28</w:t>
            </w:r>
          </w:hyperlink>
        </w:p>
        <w:p>
          <w:pPr>
            <w:pStyle w:val="TOC4"/>
            <w:numPr>
              <w:ilvl w:val="2"/>
              <w:numId w:val="1"/>
            </w:numPr>
            <w:tabs>
              <w:tab w:pos="1960" w:val="left" w:leader="none"/>
              <w:tab w:pos="1961" w:val="left" w:leader="none"/>
              <w:tab w:pos="9663" w:val="right" w:leader="none"/>
            </w:tabs>
            <w:spacing w:line="240" w:lineRule="auto" w:before="120" w:after="0"/>
            <w:ind w:left="1960" w:right="0" w:hanging="695"/>
            <w:jc w:val="left"/>
          </w:pPr>
          <w:hyperlink w:history="true" w:anchor="_bookmark34">
            <w:r>
              <w:rPr/>
              <w:t>Objective of the second phase</w:t>
            </w:r>
            <w:r>
              <w:rPr>
                <w:spacing w:val="-7"/>
              </w:rPr>
              <w:t> </w:t>
            </w:r>
            <w:r>
              <w:rPr/>
              <w:t>of</w:t>
            </w:r>
            <w:r>
              <w:rPr>
                <w:spacing w:val="-2"/>
              </w:rPr>
              <w:t> </w:t>
            </w:r>
            <w:r>
              <w:rPr/>
              <w:t>evaluation</w:t>
              <w:tab/>
              <w:t>28</w:t>
            </w:r>
          </w:hyperlink>
        </w:p>
        <w:p>
          <w:pPr>
            <w:pStyle w:val="TOC4"/>
            <w:numPr>
              <w:ilvl w:val="1"/>
              <w:numId w:val="1"/>
            </w:numPr>
            <w:tabs>
              <w:tab w:pos="1833" w:val="left" w:leader="none"/>
              <w:tab w:pos="1834" w:val="left" w:leader="none"/>
              <w:tab w:pos="9663" w:val="right" w:leader="none"/>
            </w:tabs>
            <w:spacing w:line="240" w:lineRule="auto" w:before="122" w:after="0"/>
            <w:ind w:left="1833" w:right="0" w:hanging="568"/>
            <w:jc w:val="left"/>
          </w:pPr>
          <w:hyperlink w:history="true" w:anchor="_bookmark35">
            <w:r>
              <w:rPr/>
              <w:t>Methodology of the second phase of</w:t>
            </w:r>
            <w:r>
              <w:rPr>
                <w:spacing w:val="-13"/>
              </w:rPr>
              <w:t> </w:t>
            </w:r>
            <w:r>
              <w:rPr/>
              <w:t>the</w:t>
            </w:r>
            <w:r>
              <w:rPr>
                <w:spacing w:val="-1"/>
              </w:rPr>
              <w:t> </w:t>
            </w:r>
            <w:r>
              <w:rPr/>
              <w:t>evaluation</w:t>
              <w:tab/>
              <w:t>28</w:t>
            </w:r>
          </w:hyperlink>
        </w:p>
        <w:p>
          <w:pPr>
            <w:pStyle w:val="TOC4"/>
            <w:numPr>
              <w:ilvl w:val="2"/>
              <w:numId w:val="1"/>
            </w:numPr>
            <w:tabs>
              <w:tab w:pos="1960" w:val="left" w:leader="none"/>
              <w:tab w:pos="1961" w:val="left" w:leader="none"/>
              <w:tab w:pos="9663" w:val="right" w:leader="none"/>
            </w:tabs>
            <w:spacing w:line="240" w:lineRule="auto" w:before="122" w:after="0"/>
            <w:ind w:left="1960" w:right="0" w:hanging="695"/>
            <w:jc w:val="left"/>
          </w:pPr>
          <w:hyperlink w:history="true" w:anchor="_bookmark36">
            <w:r>
              <w:rPr/>
              <w:t>Definition of systems and</w:t>
            </w:r>
            <w:r>
              <w:rPr>
                <w:spacing w:val="-8"/>
              </w:rPr>
              <w:t> </w:t>
            </w:r>
            <w:r>
              <w:rPr/>
              <w:t>systems</w:t>
            </w:r>
            <w:r>
              <w:rPr>
                <w:spacing w:val="-1"/>
              </w:rPr>
              <w:t> </w:t>
            </w:r>
            <w:r>
              <w:rPr/>
              <w:t>thinking</w:t>
              <w:tab/>
              <w:t>28</w:t>
            </w:r>
          </w:hyperlink>
        </w:p>
        <w:p>
          <w:pPr>
            <w:pStyle w:val="TOC4"/>
            <w:numPr>
              <w:ilvl w:val="2"/>
              <w:numId w:val="1"/>
            </w:numPr>
            <w:tabs>
              <w:tab w:pos="1960" w:val="left" w:leader="none"/>
              <w:tab w:pos="1961" w:val="left" w:leader="none"/>
              <w:tab w:pos="9663" w:val="right" w:leader="none"/>
            </w:tabs>
            <w:spacing w:line="240" w:lineRule="auto" w:before="21" w:after="0"/>
            <w:ind w:left="1960" w:right="0" w:hanging="695"/>
            <w:jc w:val="left"/>
          </w:pPr>
          <w:hyperlink w:history="true" w:anchor="_bookmark37">
            <w:r>
              <w:rPr/>
              <w:t>Workshops</w:t>
              <w:tab/>
              <w:t>29</w:t>
            </w:r>
          </w:hyperlink>
        </w:p>
        <w:p>
          <w:pPr>
            <w:pStyle w:val="TOC4"/>
            <w:numPr>
              <w:ilvl w:val="2"/>
              <w:numId w:val="1"/>
            </w:numPr>
            <w:tabs>
              <w:tab w:pos="1960" w:val="left" w:leader="none"/>
              <w:tab w:pos="1961" w:val="left" w:leader="none"/>
              <w:tab w:pos="9663" w:val="right" w:leader="none"/>
            </w:tabs>
            <w:spacing w:line="240" w:lineRule="auto" w:before="21" w:after="0"/>
            <w:ind w:left="1960" w:right="0" w:hanging="695"/>
            <w:jc w:val="left"/>
          </w:pPr>
          <w:hyperlink w:history="true" w:anchor="_bookmark38">
            <w:r>
              <w:rPr/>
              <w:t>Stakeholder</w:t>
            </w:r>
            <w:r>
              <w:rPr>
                <w:spacing w:val="-2"/>
              </w:rPr>
              <w:t> </w:t>
            </w:r>
            <w:r>
              <w:rPr/>
              <w:t>interviews</w:t>
              <w:tab/>
              <w:t>30</w:t>
            </w:r>
          </w:hyperlink>
        </w:p>
        <w:p>
          <w:pPr>
            <w:pStyle w:val="TOC4"/>
            <w:numPr>
              <w:ilvl w:val="2"/>
              <w:numId w:val="1"/>
            </w:numPr>
            <w:tabs>
              <w:tab w:pos="1960" w:val="left" w:leader="none"/>
              <w:tab w:pos="1961" w:val="left" w:leader="none"/>
              <w:tab w:pos="9663" w:val="right" w:leader="none"/>
            </w:tabs>
            <w:spacing w:line="240" w:lineRule="auto" w:before="22" w:after="20"/>
            <w:ind w:left="1960" w:right="0" w:hanging="695"/>
            <w:jc w:val="left"/>
          </w:pPr>
          <w:hyperlink w:history="true" w:anchor="_bookmark39">
            <w:r>
              <w:rPr/>
              <w:t>Network</w:t>
            </w:r>
            <w:r>
              <w:rPr>
                <w:spacing w:val="-3"/>
              </w:rPr>
              <w:t> </w:t>
            </w:r>
            <w:r>
              <w:rPr/>
              <w:t>analysis</w:t>
            </w:r>
            <w:r>
              <w:rPr>
                <w:spacing w:val="-1"/>
              </w:rPr>
              <w:t> </w:t>
            </w:r>
            <w:r>
              <w:rPr/>
              <w:t>survey</w:t>
              <w:tab/>
              <w:t>30</w:t>
            </w:r>
          </w:hyperlink>
        </w:p>
        <w:p>
          <w:pPr>
            <w:pStyle w:val="TOC4"/>
            <w:numPr>
              <w:ilvl w:val="1"/>
              <w:numId w:val="1"/>
            </w:numPr>
            <w:tabs>
              <w:tab w:pos="1833" w:val="left" w:leader="none"/>
              <w:tab w:pos="1834" w:val="left" w:leader="none"/>
              <w:tab w:pos="9433" w:val="left" w:leader="none"/>
            </w:tabs>
            <w:spacing w:line="240" w:lineRule="auto" w:before="596" w:after="0"/>
            <w:ind w:left="1833" w:right="0" w:hanging="568"/>
            <w:jc w:val="left"/>
          </w:pPr>
          <w:hyperlink w:history="true" w:anchor="_bookmark41">
            <w:r>
              <w:rPr/>
              <w:t>This</w:t>
            </w:r>
            <w:r>
              <w:rPr>
                <w:spacing w:val="-3"/>
              </w:rPr>
              <w:t> </w:t>
            </w:r>
            <w:r>
              <w:rPr/>
              <w:t>report</w:t>
              <w:tab/>
              <w:t>31</w:t>
            </w:r>
          </w:hyperlink>
        </w:p>
        <w:p>
          <w:pPr>
            <w:pStyle w:val="TOC4"/>
            <w:numPr>
              <w:ilvl w:val="1"/>
              <w:numId w:val="1"/>
            </w:numPr>
            <w:tabs>
              <w:tab w:pos="1833" w:val="left" w:leader="none"/>
              <w:tab w:pos="1834" w:val="left" w:leader="none"/>
              <w:tab w:pos="9433" w:val="left" w:leader="none"/>
            </w:tabs>
            <w:spacing w:line="240" w:lineRule="auto" w:before="22" w:after="0"/>
            <w:ind w:left="1833" w:right="0" w:hanging="568"/>
            <w:jc w:val="left"/>
          </w:pPr>
          <w:hyperlink w:history="true" w:anchor="_bookmark42">
            <w:r>
              <w:rPr/>
              <w:t>Considerations</w:t>
            </w:r>
            <w:r>
              <w:rPr>
                <w:spacing w:val="-4"/>
              </w:rPr>
              <w:t> </w:t>
            </w:r>
            <w:r>
              <w:rPr/>
              <w:t>and</w:t>
            </w:r>
            <w:r>
              <w:rPr>
                <w:spacing w:val="-4"/>
              </w:rPr>
              <w:t> </w:t>
            </w:r>
            <w:r>
              <w:rPr/>
              <w:t>limitations</w:t>
              <w:tab/>
              <w:t>32</w:t>
            </w:r>
          </w:hyperlink>
        </w:p>
        <w:p>
          <w:pPr>
            <w:pStyle w:val="TOC2"/>
            <w:numPr>
              <w:ilvl w:val="0"/>
              <w:numId w:val="1"/>
            </w:numPr>
            <w:tabs>
              <w:tab w:pos="1266" w:val="left" w:leader="none"/>
              <w:tab w:pos="1267" w:val="left" w:leader="none"/>
              <w:tab w:pos="9433" w:val="left" w:leader="none"/>
            </w:tabs>
            <w:spacing w:line="240" w:lineRule="auto" w:before="201" w:after="0"/>
            <w:ind w:left="1266" w:right="0" w:hanging="567"/>
            <w:jc w:val="left"/>
            <w:rPr>
              <w:b w:val="0"/>
              <w:i w:val="0"/>
              <w:sz w:val="18"/>
            </w:rPr>
          </w:pPr>
          <w:hyperlink w:history="true" w:anchor="_bookmark43">
            <w:r>
              <w:rPr>
                <w:b w:val="0"/>
                <w:i w:val="0"/>
                <w:sz w:val="18"/>
              </w:rPr>
              <w:t>Defining the </w:t>
            </w:r>
            <w:r>
              <w:rPr>
                <w:b w:val="0"/>
                <w:i/>
                <w:sz w:val="18"/>
              </w:rPr>
              <w:t>Our</w:t>
            </w:r>
            <w:r>
              <w:rPr>
                <w:b w:val="0"/>
                <w:i/>
                <w:spacing w:val="-6"/>
                <w:sz w:val="18"/>
              </w:rPr>
              <w:t> </w:t>
            </w:r>
            <w:r>
              <w:rPr>
                <w:b w:val="0"/>
                <w:i/>
                <w:sz w:val="18"/>
              </w:rPr>
              <w:t>Way</w:t>
            </w:r>
            <w:r>
              <w:rPr>
                <w:b w:val="0"/>
                <w:i/>
                <w:spacing w:val="-3"/>
                <w:sz w:val="18"/>
              </w:rPr>
              <w:t> </w:t>
            </w:r>
            <w:r>
              <w:rPr>
                <w:b w:val="0"/>
                <w:i w:val="0"/>
                <w:sz w:val="18"/>
              </w:rPr>
              <w:t>system</w:t>
              <w:tab/>
              <w:t>33</w:t>
            </w:r>
          </w:hyperlink>
        </w:p>
        <w:p>
          <w:pPr>
            <w:pStyle w:val="TOC4"/>
            <w:numPr>
              <w:ilvl w:val="1"/>
              <w:numId w:val="1"/>
            </w:numPr>
            <w:tabs>
              <w:tab w:pos="1833" w:val="left" w:leader="none"/>
              <w:tab w:pos="1834" w:val="left" w:leader="none"/>
              <w:tab w:pos="9433" w:val="left" w:leader="none"/>
            </w:tabs>
            <w:spacing w:line="240" w:lineRule="auto" w:before="141" w:after="0"/>
            <w:ind w:left="1833" w:right="0" w:hanging="568"/>
            <w:jc w:val="left"/>
          </w:pPr>
          <w:hyperlink w:history="true" w:anchor="_bookmark44">
            <w:r>
              <w:rPr/>
              <w:t>Context</w:t>
              <w:tab/>
              <w:t>34</w:t>
            </w:r>
          </w:hyperlink>
        </w:p>
        <w:p>
          <w:pPr>
            <w:pStyle w:val="TOC4"/>
            <w:numPr>
              <w:ilvl w:val="1"/>
              <w:numId w:val="1"/>
            </w:numPr>
            <w:tabs>
              <w:tab w:pos="1833" w:val="left" w:leader="none"/>
              <w:tab w:pos="1834" w:val="left" w:leader="none"/>
              <w:tab w:pos="9433" w:val="left" w:leader="none"/>
            </w:tabs>
            <w:spacing w:line="240" w:lineRule="auto" w:before="21" w:after="0"/>
            <w:ind w:left="1833" w:right="0" w:hanging="568"/>
            <w:jc w:val="left"/>
          </w:pPr>
          <w:hyperlink w:history="true" w:anchor="_bookmark45">
            <w:r>
              <w:rPr/>
              <w:t>The </w:t>
            </w:r>
            <w:r>
              <w:rPr>
                <w:i/>
              </w:rPr>
              <w:t>Our Way </w:t>
            </w:r>
            <w:r>
              <w:rPr/>
              <w:t>system boundary</w:t>
            </w:r>
            <w:r>
              <w:rPr>
                <w:spacing w:val="-11"/>
              </w:rPr>
              <w:t> </w:t>
            </w:r>
            <w:r>
              <w:rPr/>
              <w:t>and</w:t>
            </w:r>
            <w:r>
              <w:rPr>
                <w:spacing w:val="-2"/>
              </w:rPr>
              <w:t> </w:t>
            </w:r>
            <w:r>
              <w:rPr/>
              <w:t>stakeholders</w:t>
              <w:tab/>
              <w:t>34</w:t>
            </w:r>
          </w:hyperlink>
        </w:p>
        <w:p>
          <w:pPr>
            <w:pStyle w:val="TOC4"/>
            <w:numPr>
              <w:ilvl w:val="2"/>
              <w:numId w:val="1"/>
            </w:numPr>
            <w:tabs>
              <w:tab w:pos="1960" w:val="left" w:leader="none"/>
              <w:tab w:pos="1961" w:val="left" w:leader="none"/>
              <w:tab w:pos="9433" w:val="left" w:leader="none"/>
            </w:tabs>
            <w:spacing w:line="240" w:lineRule="auto" w:before="122" w:after="0"/>
            <w:ind w:left="1960" w:right="0" w:hanging="695"/>
            <w:jc w:val="left"/>
          </w:pPr>
          <w:hyperlink w:history="true" w:anchor="_bookmark46">
            <w:r>
              <w:rPr/>
              <w:t>Context</w:t>
            </w:r>
            <w:r>
              <w:rPr>
                <w:spacing w:val="-2"/>
              </w:rPr>
              <w:t> </w:t>
            </w:r>
            <w:r>
              <w:rPr/>
              <w:t>and</w:t>
            </w:r>
            <w:r>
              <w:rPr>
                <w:spacing w:val="-3"/>
              </w:rPr>
              <w:t> </w:t>
            </w:r>
            <w:r>
              <w:rPr/>
              <w:t>approach</w:t>
              <w:tab/>
              <w:t>34</w:t>
            </w:r>
          </w:hyperlink>
        </w:p>
        <w:p>
          <w:pPr>
            <w:pStyle w:val="TOC6"/>
            <w:numPr>
              <w:ilvl w:val="2"/>
              <w:numId w:val="1"/>
            </w:numPr>
            <w:tabs>
              <w:tab w:pos="1960" w:val="left" w:leader="none"/>
              <w:tab w:pos="1961" w:val="left" w:leader="none"/>
              <w:tab w:pos="9433" w:val="left" w:leader="none"/>
            </w:tabs>
            <w:spacing w:line="240" w:lineRule="auto" w:before="22" w:after="0"/>
            <w:ind w:left="1960" w:right="0" w:hanging="695"/>
            <w:jc w:val="left"/>
            <w:rPr>
              <w:b w:val="0"/>
              <w:i w:val="0"/>
              <w:sz w:val="18"/>
            </w:rPr>
          </w:pPr>
          <w:hyperlink w:history="true" w:anchor="_bookmark47">
            <w:r>
              <w:rPr>
                <w:b w:val="0"/>
                <w:i w:val="0"/>
                <w:sz w:val="18"/>
              </w:rPr>
              <w:t>Description of the </w:t>
            </w:r>
            <w:r>
              <w:rPr>
                <w:b w:val="0"/>
                <w:i/>
                <w:sz w:val="18"/>
              </w:rPr>
              <w:t>Our</w:t>
            </w:r>
            <w:r>
              <w:rPr>
                <w:b w:val="0"/>
                <w:i/>
                <w:spacing w:val="-8"/>
                <w:sz w:val="18"/>
              </w:rPr>
              <w:t> </w:t>
            </w:r>
            <w:r>
              <w:rPr>
                <w:b w:val="0"/>
                <w:i/>
                <w:sz w:val="18"/>
              </w:rPr>
              <w:t>Way</w:t>
            </w:r>
            <w:r>
              <w:rPr>
                <w:b w:val="0"/>
                <w:i/>
                <w:spacing w:val="-3"/>
                <w:sz w:val="18"/>
              </w:rPr>
              <w:t> </w:t>
            </w:r>
            <w:r>
              <w:rPr>
                <w:b w:val="0"/>
                <w:i w:val="0"/>
                <w:sz w:val="18"/>
              </w:rPr>
              <w:t>system</w:t>
              <w:tab/>
              <w:t>34</w:t>
            </w:r>
          </w:hyperlink>
        </w:p>
        <w:p>
          <w:pPr>
            <w:pStyle w:val="TOC4"/>
            <w:numPr>
              <w:ilvl w:val="1"/>
              <w:numId w:val="1"/>
            </w:numPr>
            <w:tabs>
              <w:tab w:pos="1833" w:val="left" w:leader="none"/>
              <w:tab w:pos="1834" w:val="left" w:leader="none"/>
              <w:tab w:pos="9433" w:val="left" w:leader="none"/>
            </w:tabs>
            <w:spacing w:line="240" w:lineRule="auto" w:before="119" w:after="0"/>
            <w:ind w:left="1833" w:right="0" w:hanging="568"/>
            <w:jc w:val="left"/>
          </w:pPr>
          <w:hyperlink w:history="true" w:anchor="_bookmark50">
            <w:r>
              <w:rPr/>
              <w:t>Stakeholders’ awareness and alignment with</w:t>
            </w:r>
            <w:r>
              <w:rPr>
                <w:spacing w:val="-9"/>
              </w:rPr>
              <w:t> </w:t>
            </w:r>
            <w:r>
              <w:rPr>
                <w:i/>
              </w:rPr>
              <w:t>Our</w:t>
            </w:r>
            <w:r>
              <w:rPr>
                <w:i/>
                <w:spacing w:val="-2"/>
              </w:rPr>
              <w:t> </w:t>
            </w:r>
            <w:r>
              <w:rPr>
                <w:i/>
              </w:rPr>
              <w:t>Way</w:t>
              <w:tab/>
            </w:r>
            <w:r>
              <w:rPr/>
              <w:t>37</w:t>
            </w:r>
          </w:hyperlink>
        </w:p>
        <w:p>
          <w:pPr>
            <w:pStyle w:val="TOC4"/>
            <w:numPr>
              <w:ilvl w:val="1"/>
              <w:numId w:val="1"/>
            </w:numPr>
            <w:tabs>
              <w:tab w:pos="1833" w:val="left" w:leader="none"/>
              <w:tab w:pos="1834" w:val="left" w:leader="none"/>
              <w:tab w:pos="9433" w:val="left" w:leader="none"/>
            </w:tabs>
            <w:spacing w:line="240" w:lineRule="auto" w:before="21" w:after="0"/>
            <w:ind w:left="1833" w:right="0" w:hanging="568"/>
            <w:jc w:val="left"/>
          </w:pPr>
          <w:hyperlink w:history="true" w:anchor="_bookmark53">
            <w:r>
              <w:rPr/>
              <w:t>Actions and changes</w:t>
            </w:r>
            <w:r>
              <w:rPr>
                <w:spacing w:val="-8"/>
              </w:rPr>
              <w:t> </w:t>
            </w:r>
            <w:r>
              <w:rPr/>
              <w:t>to</w:t>
            </w:r>
            <w:r>
              <w:rPr>
                <w:spacing w:val="-2"/>
              </w:rPr>
              <w:t> </w:t>
            </w:r>
            <w:r>
              <w:rPr/>
              <w:t>date</w:t>
              <w:tab/>
              <w:t>40</w:t>
            </w:r>
          </w:hyperlink>
        </w:p>
        <w:p>
          <w:pPr>
            <w:pStyle w:val="TOC4"/>
            <w:numPr>
              <w:ilvl w:val="1"/>
              <w:numId w:val="1"/>
            </w:numPr>
            <w:tabs>
              <w:tab w:pos="1833" w:val="left" w:leader="none"/>
              <w:tab w:pos="1834" w:val="left" w:leader="none"/>
              <w:tab w:pos="9433" w:val="left" w:leader="none"/>
            </w:tabs>
            <w:spacing w:line="240" w:lineRule="auto" w:before="22" w:after="0"/>
            <w:ind w:left="1833" w:right="0" w:hanging="568"/>
            <w:jc w:val="left"/>
          </w:pPr>
          <w:hyperlink w:history="true" w:anchor="_bookmark56">
            <w:r>
              <w:rPr/>
              <w:t>How stakeholders work together within</w:t>
            </w:r>
            <w:r>
              <w:rPr>
                <w:spacing w:val="-16"/>
              </w:rPr>
              <w:t> </w:t>
            </w:r>
            <w:r>
              <w:rPr/>
              <w:t>the</w:t>
            </w:r>
            <w:r>
              <w:rPr>
                <w:spacing w:val="-2"/>
              </w:rPr>
              <w:t> </w:t>
            </w:r>
            <w:r>
              <w:rPr/>
              <w:t>system</w:t>
              <w:tab/>
              <w:t>42</w:t>
            </w:r>
          </w:hyperlink>
        </w:p>
        <w:p>
          <w:pPr>
            <w:pStyle w:val="TOC4"/>
            <w:numPr>
              <w:ilvl w:val="2"/>
              <w:numId w:val="1"/>
            </w:numPr>
            <w:tabs>
              <w:tab w:pos="1960" w:val="left" w:leader="none"/>
              <w:tab w:pos="1961" w:val="left" w:leader="none"/>
              <w:tab w:pos="9433" w:val="left" w:leader="none"/>
            </w:tabs>
            <w:spacing w:line="240" w:lineRule="auto" w:before="122" w:after="0"/>
            <w:ind w:left="1960" w:right="0" w:hanging="695"/>
            <w:jc w:val="left"/>
          </w:pPr>
          <w:hyperlink w:history="true" w:anchor="_bookmark57">
            <w:r>
              <w:rPr/>
              <w:t>Current</w:t>
            </w:r>
            <w:r>
              <w:rPr>
                <w:spacing w:val="-3"/>
              </w:rPr>
              <w:t> </w:t>
            </w:r>
            <w:r>
              <w:rPr/>
              <w:t>collaboration</w:t>
            </w:r>
            <w:r>
              <w:rPr>
                <w:spacing w:val="-3"/>
              </w:rPr>
              <w:t> </w:t>
            </w:r>
            <w:r>
              <w:rPr/>
              <w:t>approach</w:t>
              <w:tab/>
              <w:t>42</w:t>
            </w:r>
          </w:hyperlink>
        </w:p>
        <w:p>
          <w:pPr>
            <w:pStyle w:val="TOC4"/>
            <w:numPr>
              <w:ilvl w:val="2"/>
              <w:numId w:val="1"/>
            </w:numPr>
            <w:tabs>
              <w:tab w:pos="1960" w:val="left" w:leader="none"/>
              <w:tab w:pos="1961" w:val="left" w:leader="none"/>
              <w:tab w:pos="9433" w:val="left" w:leader="none"/>
            </w:tabs>
            <w:spacing w:line="240" w:lineRule="auto" w:before="22" w:after="0"/>
            <w:ind w:left="1960" w:right="0" w:hanging="695"/>
            <w:jc w:val="left"/>
          </w:pPr>
          <w:hyperlink w:history="true" w:anchor="_bookmark59">
            <w:r>
              <w:rPr/>
              <w:t>Nature of collaboration between</w:t>
            </w:r>
            <w:r>
              <w:rPr>
                <w:spacing w:val="-14"/>
              </w:rPr>
              <w:t> </w:t>
            </w:r>
            <w:r>
              <w:rPr/>
              <w:t>system</w:t>
            </w:r>
            <w:r>
              <w:rPr>
                <w:spacing w:val="-3"/>
              </w:rPr>
              <w:t> </w:t>
            </w:r>
            <w:r>
              <w:rPr/>
              <w:t>stakeholders</w:t>
              <w:tab/>
              <w:t>43</w:t>
            </w:r>
          </w:hyperlink>
        </w:p>
        <w:p>
          <w:pPr>
            <w:pStyle w:val="TOC4"/>
            <w:numPr>
              <w:ilvl w:val="2"/>
              <w:numId w:val="1"/>
            </w:numPr>
            <w:tabs>
              <w:tab w:pos="1960" w:val="left" w:leader="none"/>
              <w:tab w:pos="1961" w:val="left" w:leader="none"/>
            </w:tabs>
            <w:spacing w:line="240" w:lineRule="auto" w:before="21" w:after="0"/>
            <w:ind w:left="1960" w:right="0" w:hanging="695"/>
            <w:jc w:val="left"/>
          </w:pPr>
          <w:hyperlink w:history="true" w:anchor="_bookmark61">
            <w:r>
              <w:rPr/>
              <w:t>Changes in the frequency and impact of collaboration between</w:t>
            </w:r>
            <w:r>
              <w:rPr>
                <w:spacing w:val="-13"/>
              </w:rPr>
              <w:t> </w:t>
            </w:r>
            <w:r>
              <w:rPr/>
              <w:t>system</w:t>
            </w:r>
          </w:hyperlink>
        </w:p>
        <w:p>
          <w:pPr>
            <w:pStyle w:val="TOC4"/>
            <w:tabs>
              <w:tab w:pos="9433" w:val="left" w:leader="none"/>
            </w:tabs>
            <w:ind w:left="1266" w:firstLine="0"/>
          </w:pPr>
          <w:hyperlink w:history="true" w:anchor="_bookmark61">
            <w:r>
              <w:rPr/>
              <w:t>stakeholders</w:t>
              <w:tab/>
              <w:t>44</w:t>
            </w:r>
          </w:hyperlink>
        </w:p>
        <w:p>
          <w:pPr>
            <w:pStyle w:val="TOC1"/>
            <w:numPr>
              <w:ilvl w:val="0"/>
              <w:numId w:val="1"/>
            </w:numPr>
            <w:tabs>
              <w:tab w:pos="1266" w:val="left" w:leader="none"/>
              <w:tab w:pos="1267" w:val="left" w:leader="none"/>
              <w:tab w:pos="9433" w:val="left" w:leader="none"/>
            </w:tabs>
            <w:spacing w:line="240" w:lineRule="auto" w:before="201" w:after="0"/>
            <w:ind w:left="1266" w:right="0" w:hanging="567"/>
            <w:jc w:val="left"/>
          </w:pPr>
          <w:hyperlink w:history="true" w:anchor="_bookmark67">
            <w:r>
              <w:rPr/>
              <w:t>Barriers</w:t>
            </w:r>
            <w:r>
              <w:rPr>
                <w:spacing w:val="-3"/>
              </w:rPr>
              <w:t> </w:t>
            </w:r>
            <w:r>
              <w:rPr/>
              <w:t>and</w:t>
            </w:r>
            <w:r>
              <w:rPr>
                <w:spacing w:val="-2"/>
              </w:rPr>
              <w:t> </w:t>
            </w:r>
            <w:r>
              <w:rPr/>
              <w:t>enablers</w:t>
              <w:tab/>
              <w:t>47</w:t>
            </w:r>
          </w:hyperlink>
        </w:p>
        <w:p>
          <w:pPr>
            <w:pStyle w:val="TOC4"/>
            <w:numPr>
              <w:ilvl w:val="1"/>
              <w:numId w:val="1"/>
            </w:numPr>
            <w:tabs>
              <w:tab w:pos="1833" w:val="left" w:leader="none"/>
              <w:tab w:pos="1834" w:val="left" w:leader="none"/>
              <w:tab w:pos="9433" w:val="left" w:leader="none"/>
            </w:tabs>
            <w:spacing w:line="240" w:lineRule="auto" w:before="142" w:after="0"/>
            <w:ind w:left="1833" w:right="0" w:hanging="568"/>
            <w:jc w:val="left"/>
          </w:pPr>
          <w:hyperlink w:history="true" w:anchor="_bookmark68">
            <w:r>
              <w:rPr/>
              <w:t>Context</w:t>
              <w:tab/>
              <w:t>47</w:t>
            </w:r>
          </w:hyperlink>
        </w:p>
        <w:p>
          <w:pPr>
            <w:pStyle w:val="TOC4"/>
            <w:numPr>
              <w:ilvl w:val="1"/>
              <w:numId w:val="1"/>
            </w:numPr>
            <w:tabs>
              <w:tab w:pos="1833" w:val="left" w:leader="none"/>
              <w:tab w:pos="1834" w:val="left" w:leader="none"/>
              <w:tab w:pos="9433" w:val="left" w:leader="none"/>
            </w:tabs>
            <w:spacing w:line="240" w:lineRule="auto" w:before="21" w:after="0"/>
            <w:ind w:left="1833" w:right="0" w:hanging="568"/>
            <w:jc w:val="left"/>
          </w:pPr>
          <w:hyperlink w:history="true" w:anchor="_bookmark69">
            <w:r>
              <w:rPr/>
              <w:t>Implementation</w:t>
            </w:r>
            <w:r>
              <w:rPr>
                <w:spacing w:val="-4"/>
              </w:rPr>
              <w:t> </w:t>
            </w:r>
            <w:r>
              <w:rPr/>
              <w:t>enablers</w:t>
              <w:tab/>
              <w:t>48</w:t>
            </w:r>
          </w:hyperlink>
        </w:p>
        <w:p>
          <w:pPr>
            <w:pStyle w:val="TOC4"/>
            <w:numPr>
              <w:ilvl w:val="2"/>
              <w:numId w:val="1"/>
            </w:numPr>
            <w:tabs>
              <w:tab w:pos="1960" w:val="left" w:leader="none"/>
              <w:tab w:pos="1961" w:val="left" w:leader="none"/>
              <w:tab w:pos="9433" w:val="left" w:leader="none"/>
            </w:tabs>
            <w:spacing w:line="240" w:lineRule="auto" w:before="122" w:after="0"/>
            <w:ind w:left="1960" w:right="0" w:hanging="695"/>
            <w:jc w:val="left"/>
          </w:pPr>
          <w:hyperlink w:history="true" w:anchor="_bookmark70">
            <w:r>
              <w:rPr/>
              <w:t>Trust and empowerment of the</w:t>
            </w:r>
            <w:r>
              <w:rPr>
                <w:spacing w:val="-14"/>
              </w:rPr>
              <w:t> </w:t>
            </w:r>
            <w:r>
              <w:rPr/>
              <w:t>community-controlled</w:t>
            </w:r>
            <w:r>
              <w:rPr>
                <w:spacing w:val="-3"/>
              </w:rPr>
              <w:t> </w:t>
            </w:r>
            <w:r>
              <w:rPr/>
              <w:t>sector</w:t>
              <w:tab/>
              <w:t>48</w:t>
            </w:r>
          </w:hyperlink>
        </w:p>
        <w:p>
          <w:pPr>
            <w:pStyle w:val="TOC4"/>
            <w:numPr>
              <w:ilvl w:val="2"/>
              <w:numId w:val="1"/>
            </w:numPr>
            <w:tabs>
              <w:tab w:pos="1960" w:val="left" w:leader="none"/>
              <w:tab w:pos="1961" w:val="left" w:leader="none"/>
              <w:tab w:pos="9433" w:val="left" w:leader="none"/>
            </w:tabs>
            <w:spacing w:line="240" w:lineRule="auto" w:before="21" w:after="0"/>
            <w:ind w:left="1960" w:right="0" w:hanging="695"/>
            <w:jc w:val="left"/>
          </w:pPr>
          <w:hyperlink w:history="true" w:anchor="_bookmark71">
            <w:r>
              <w:rPr/>
              <w:t>Co-design approach</w:t>
            </w:r>
            <w:r>
              <w:rPr>
                <w:spacing w:val="-5"/>
              </w:rPr>
              <w:t> </w:t>
            </w:r>
            <w:r>
              <w:rPr/>
              <w:t>to</w:t>
            </w:r>
            <w:r>
              <w:rPr>
                <w:spacing w:val="-2"/>
              </w:rPr>
              <w:t> </w:t>
            </w:r>
            <w:r>
              <w:rPr/>
              <w:t>activities</w:t>
              <w:tab/>
              <w:t>49</w:t>
            </w:r>
          </w:hyperlink>
        </w:p>
        <w:p>
          <w:pPr>
            <w:pStyle w:val="TOC4"/>
            <w:numPr>
              <w:ilvl w:val="2"/>
              <w:numId w:val="1"/>
            </w:numPr>
            <w:tabs>
              <w:tab w:pos="1960" w:val="left" w:leader="none"/>
              <w:tab w:pos="1961" w:val="left" w:leader="none"/>
              <w:tab w:pos="9433" w:val="left" w:leader="none"/>
            </w:tabs>
            <w:spacing w:line="264" w:lineRule="auto" w:before="21" w:after="0"/>
            <w:ind w:left="1266" w:right="780" w:firstLine="0"/>
            <w:jc w:val="left"/>
          </w:pPr>
          <w:hyperlink w:history="true" w:anchor="_bookmark72">
            <w:r>
              <w:rPr/>
              <w:t>Governance arrangements which support genuine partnership between the</w:t>
            </w:r>
          </w:hyperlink>
          <w:hyperlink w:history="true" w:anchor="_bookmark72">
            <w:r>
              <w:rPr/>
              <w:t> community</w:t>
            </w:r>
            <w:r>
              <w:rPr>
                <w:spacing w:val="-4"/>
              </w:rPr>
              <w:t> </w:t>
            </w:r>
            <w:r>
              <w:rPr/>
              <w:t>and</w:t>
            </w:r>
            <w:r>
              <w:rPr>
                <w:spacing w:val="-3"/>
              </w:rPr>
              <w:t> </w:t>
            </w:r>
            <w:r>
              <w:rPr/>
              <w:t>government</w:t>
              <w:tab/>
            </w:r>
            <w:r>
              <w:rPr>
                <w:spacing w:val="-8"/>
              </w:rPr>
              <w:t>49</w:t>
            </w:r>
          </w:hyperlink>
        </w:p>
        <w:p>
          <w:pPr>
            <w:pStyle w:val="TOC4"/>
            <w:numPr>
              <w:ilvl w:val="1"/>
              <w:numId w:val="1"/>
            </w:numPr>
            <w:tabs>
              <w:tab w:pos="1833" w:val="left" w:leader="none"/>
              <w:tab w:pos="1834" w:val="left" w:leader="none"/>
              <w:tab w:pos="9433" w:val="left" w:leader="none"/>
            </w:tabs>
            <w:spacing w:line="240" w:lineRule="auto" w:before="97" w:after="0"/>
            <w:ind w:left="1833" w:right="0" w:hanging="568"/>
            <w:jc w:val="left"/>
          </w:pPr>
          <w:hyperlink w:history="true" w:anchor="_bookmark73">
            <w:r>
              <w:rPr/>
              <w:t>Implementation</w:t>
            </w:r>
            <w:r>
              <w:rPr>
                <w:spacing w:val="-3"/>
              </w:rPr>
              <w:t> </w:t>
            </w:r>
            <w:r>
              <w:rPr/>
              <w:t>barriers</w:t>
              <w:tab/>
              <w:t>50</w:t>
            </w:r>
          </w:hyperlink>
        </w:p>
        <w:p>
          <w:pPr>
            <w:pStyle w:val="TOC4"/>
            <w:numPr>
              <w:ilvl w:val="2"/>
              <w:numId w:val="1"/>
            </w:numPr>
            <w:tabs>
              <w:tab w:pos="1960" w:val="left" w:leader="none"/>
              <w:tab w:pos="1961" w:val="left" w:leader="none"/>
              <w:tab w:pos="9433" w:val="left" w:leader="none"/>
            </w:tabs>
            <w:spacing w:line="240" w:lineRule="auto" w:before="123" w:after="0"/>
            <w:ind w:left="1960" w:right="0" w:hanging="695"/>
            <w:jc w:val="left"/>
          </w:pPr>
          <w:hyperlink w:history="true" w:anchor="_bookmark74">
            <w:r>
              <w:rPr/>
              <w:t>Structural</w:t>
            </w:r>
            <w:r>
              <w:rPr>
                <w:spacing w:val="-1"/>
              </w:rPr>
              <w:t> </w:t>
            </w:r>
            <w:r>
              <w:rPr/>
              <w:t>racism</w:t>
              <w:tab/>
              <w:t>50</w:t>
            </w:r>
          </w:hyperlink>
        </w:p>
        <w:p>
          <w:pPr>
            <w:pStyle w:val="TOC4"/>
            <w:numPr>
              <w:ilvl w:val="2"/>
              <w:numId w:val="1"/>
            </w:numPr>
            <w:tabs>
              <w:tab w:pos="1960" w:val="left" w:leader="none"/>
              <w:tab w:pos="1961" w:val="left" w:leader="none"/>
              <w:tab w:pos="9433" w:val="left" w:leader="none"/>
            </w:tabs>
            <w:spacing w:line="240" w:lineRule="auto" w:before="21" w:after="0"/>
            <w:ind w:left="1960" w:right="0" w:hanging="695"/>
            <w:jc w:val="left"/>
          </w:pPr>
          <w:hyperlink w:history="true" w:anchor="_bookmark75">
            <w:r>
              <w:rPr/>
              <w:t>Variation in cultural competency of</w:t>
            </w:r>
            <w:r>
              <w:rPr>
                <w:spacing w:val="-16"/>
              </w:rPr>
              <w:t> </w:t>
            </w:r>
            <w:r>
              <w:rPr/>
              <w:t>non-Indigenous</w:t>
            </w:r>
            <w:r>
              <w:rPr>
                <w:spacing w:val="-6"/>
              </w:rPr>
              <w:t> </w:t>
            </w:r>
            <w:r>
              <w:rPr/>
              <w:t>organisations</w:t>
              <w:tab/>
              <w:t>50</w:t>
            </w:r>
          </w:hyperlink>
        </w:p>
        <w:p>
          <w:pPr>
            <w:pStyle w:val="TOC4"/>
            <w:numPr>
              <w:ilvl w:val="2"/>
              <w:numId w:val="1"/>
            </w:numPr>
            <w:tabs>
              <w:tab w:pos="1960" w:val="left" w:leader="none"/>
              <w:tab w:pos="1961" w:val="left" w:leader="none"/>
              <w:tab w:pos="9433" w:val="left" w:leader="none"/>
            </w:tabs>
            <w:spacing w:line="240" w:lineRule="auto" w:before="21" w:after="0"/>
            <w:ind w:left="1960" w:right="0" w:hanging="695"/>
            <w:jc w:val="left"/>
          </w:pPr>
          <w:hyperlink w:history="true" w:anchor="_bookmark76">
            <w:r>
              <w:rPr/>
              <w:t>Fear-based</w:t>
            </w:r>
            <w:r>
              <w:rPr>
                <w:spacing w:val="-3"/>
              </w:rPr>
              <w:t> </w:t>
            </w:r>
            <w:r>
              <w:rPr/>
              <w:t>decision</w:t>
            </w:r>
            <w:r>
              <w:rPr>
                <w:spacing w:val="-2"/>
              </w:rPr>
              <w:t> </w:t>
            </w:r>
            <w:r>
              <w:rPr/>
              <w:t>making</w:t>
              <w:tab/>
              <w:t>50</w:t>
            </w:r>
          </w:hyperlink>
        </w:p>
        <w:p>
          <w:pPr>
            <w:pStyle w:val="TOC4"/>
            <w:numPr>
              <w:ilvl w:val="2"/>
              <w:numId w:val="1"/>
            </w:numPr>
            <w:tabs>
              <w:tab w:pos="1960" w:val="left" w:leader="none"/>
              <w:tab w:pos="1961" w:val="left" w:leader="none"/>
              <w:tab w:pos="9433" w:val="left" w:leader="none"/>
            </w:tabs>
            <w:spacing w:line="240" w:lineRule="auto" w:before="22" w:after="0"/>
            <w:ind w:left="1960" w:right="0" w:hanging="695"/>
            <w:jc w:val="left"/>
          </w:pPr>
          <w:hyperlink w:history="true" w:anchor="_bookmark77">
            <w:r>
              <w:rPr/>
              <w:t>Inconsistent</w:t>
            </w:r>
            <w:r>
              <w:rPr>
                <w:spacing w:val="-4"/>
              </w:rPr>
              <w:t> </w:t>
            </w:r>
            <w:r>
              <w:rPr/>
              <w:t>accountability</w:t>
            </w:r>
            <w:r>
              <w:rPr>
                <w:spacing w:val="-7"/>
              </w:rPr>
              <w:t> </w:t>
            </w:r>
            <w:r>
              <w:rPr/>
              <w:t>mechanisms</w:t>
              <w:tab/>
              <w:t>51</w:t>
            </w:r>
          </w:hyperlink>
        </w:p>
        <w:p>
          <w:pPr>
            <w:pStyle w:val="TOC4"/>
            <w:numPr>
              <w:ilvl w:val="2"/>
              <w:numId w:val="1"/>
            </w:numPr>
            <w:tabs>
              <w:tab w:pos="1960" w:val="left" w:leader="none"/>
              <w:tab w:pos="1961" w:val="left" w:leader="none"/>
              <w:tab w:pos="9433" w:val="left" w:leader="none"/>
            </w:tabs>
            <w:spacing w:line="240" w:lineRule="auto" w:before="21" w:after="0"/>
            <w:ind w:left="1960" w:right="0" w:hanging="695"/>
            <w:jc w:val="left"/>
          </w:pPr>
          <w:hyperlink w:history="true" w:anchor="_bookmark79">
            <w:r>
              <w:rPr/>
              <w:t>Existing funding and</w:t>
            </w:r>
            <w:r>
              <w:rPr>
                <w:spacing w:val="-12"/>
              </w:rPr>
              <w:t> </w:t>
            </w:r>
            <w:r>
              <w:rPr/>
              <w:t>procurement</w:t>
            </w:r>
            <w:r>
              <w:rPr>
                <w:spacing w:val="-3"/>
              </w:rPr>
              <w:t> </w:t>
            </w:r>
            <w:r>
              <w:rPr/>
              <w:t>arrangements</w:t>
              <w:tab/>
              <w:t>52</w:t>
            </w:r>
          </w:hyperlink>
        </w:p>
        <w:p>
          <w:pPr>
            <w:pStyle w:val="TOC4"/>
            <w:numPr>
              <w:ilvl w:val="1"/>
              <w:numId w:val="1"/>
            </w:numPr>
            <w:tabs>
              <w:tab w:pos="1833" w:val="left" w:leader="none"/>
              <w:tab w:pos="1834" w:val="left" w:leader="none"/>
              <w:tab w:pos="9433" w:val="left" w:leader="none"/>
            </w:tabs>
            <w:spacing w:line="240" w:lineRule="auto" w:before="122" w:after="0"/>
            <w:ind w:left="1833" w:right="0" w:hanging="568"/>
            <w:jc w:val="left"/>
          </w:pPr>
          <w:hyperlink w:history="true" w:anchor="_bookmark80">
            <w:r>
              <w:rPr/>
              <w:t>Lessons for the implementation of future</w:t>
            </w:r>
            <w:r>
              <w:rPr>
                <w:spacing w:val="-16"/>
              </w:rPr>
              <w:t> </w:t>
            </w:r>
            <w:r>
              <w:rPr/>
              <w:t>action</w:t>
            </w:r>
            <w:r>
              <w:rPr>
                <w:spacing w:val="-2"/>
              </w:rPr>
              <w:t> </w:t>
            </w:r>
            <w:r>
              <w:rPr/>
              <w:t>plans</w:t>
              <w:tab/>
              <w:t>52</w:t>
            </w:r>
          </w:hyperlink>
        </w:p>
        <w:p>
          <w:pPr>
            <w:pStyle w:val="TOC2"/>
            <w:numPr>
              <w:ilvl w:val="0"/>
              <w:numId w:val="1"/>
            </w:numPr>
            <w:tabs>
              <w:tab w:pos="1266" w:val="left" w:leader="none"/>
              <w:tab w:pos="1267" w:val="left" w:leader="none"/>
              <w:tab w:pos="9433" w:val="left" w:leader="none"/>
            </w:tabs>
            <w:spacing w:line="240" w:lineRule="auto" w:before="199" w:after="0"/>
            <w:ind w:left="1266" w:right="0" w:hanging="567"/>
            <w:jc w:val="left"/>
            <w:rPr>
              <w:b w:val="0"/>
              <w:i w:val="0"/>
              <w:sz w:val="18"/>
            </w:rPr>
          </w:pPr>
          <w:hyperlink w:history="true" w:anchor="_bookmark81">
            <w:r>
              <w:rPr>
                <w:b w:val="0"/>
                <w:i w:val="0"/>
                <w:sz w:val="18"/>
              </w:rPr>
              <w:t>Changing the </w:t>
            </w:r>
            <w:r>
              <w:rPr>
                <w:b w:val="0"/>
                <w:i/>
                <w:sz w:val="18"/>
              </w:rPr>
              <w:t>Our</w:t>
            </w:r>
            <w:r>
              <w:rPr>
                <w:b w:val="0"/>
                <w:i/>
                <w:spacing w:val="-5"/>
                <w:sz w:val="18"/>
              </w:rPr>
              <w:t> </w:t>
            </w:r>
            <w:r>
              <w:rPr>
                <w:b w:val="0"/>
                <w:i/>
                <w:sz w:val="18"/>
              </w:rPr>
              <w:t>Way</w:t>
            </w:r>
            <w:r>
              <w:rPr>
                <w:b w:val="0"/>
                <w:i/>
                <w:spacing w:val="-2"/>
                <w:sz w:val="18"/>
              </w:rPr>
              <w:t> </w:t>
            </w:r>
            <w:r>
              <w:rPr>
                <w:b w:val="0"/>
                <w:i w:val="0"/>
                <w:sz w:val="18"/>
              </w:rPr>
              <w:t>system</w:t>
              <w:tab/>
              <w:t>54</w:t>
            </w:r>
          </w:hyperlink>
        </w:p>
        <w:p>
          <w:pPr>
            <w:pStyle w:val="TOC4"/>
            <w:numPr>
              <w:ilvl w:val="1"/>
              <w:numId w:val="1"/>
            </w:numPr>
            <w:tabs>
              <w:tab w:pos="1833" w:val="left" w:leader="none"/>
              <w:tab w:pos="1834" w:val="left" w:leader="none"/>
              <w:tab w:pos="9433" w:val="left" w:leader="none"/>
            </w:tabs>
            <w:spacing w:line="240" w:lineRule="auto" w:before="143" w:after="0"/>
            <w:ind w:left="1833" w:right="0" w:hanging="568"/>
            <w:jc w:val="left"/>
          </w:pPr>
          <w:hyperlink w:history="true" w:anchor="_bookmark82">
            <w:r>
              <w:rPr/>
              <w:t>Theory</w:t>
            </w:r>
            <w:r>
              <w:rPr>
                <w:spacing w:val="-3"/>
              </w:rPr>
              <w:t> </w:t>
            </w:r>
            <w:r>
              <w:rPr/>
              <w:t>of</w:t>
            </w:r>
            <w:r>
              <w:rPr>
                <w:spacing w:val="-2"/>
              </w:rPr>
              <w:t> </w:t>
            </w:r>
            <w:r>
              <w:rPr/>
              <w:t>Change</w:t>
              <w:tab/>
              <w:t>54</w:t>
            </w:r>
          </w:hyperlink>
        </w:p>
        <w:p>
          <w:pPr>
            <w:pStyle w:val="TOC4"/>
            <w:numPr>
              <w:ilvl w:val="2"/>
              <w:numId w:val="1"/>
            </w:numPr>
            <w:tabs>
              <w:tab w:pos="1960" w:val="left" w:leader="none"/>
              <w:tab w:pos="1961" w:val="left" w:leader="none"/>
              <w:tab w:pos="9433" w:val="left" w:leader="none"/>
            </w:tabs>
            <w:spacing w:line="240" w:lineRule="auto" w:before="120" w:after="0"/>
            <w:ind w:left="1960" w:right="0" w:hanging="695"/>
            <w:jc w:val="left"/>
          </w:pPr>
          <w:hyperlink w:history="true" w:anchor="_bookmark83">
            <w:r>
              <w:rPr/>
              <w:t>Definition</w:t>
              <w:tab/>
              <w:t>54</w:t>
            </w:r>
          </w:hyperlink>
        </w:p>
        <w:p>
          <w:pPr>
            <w:pStyle w:val="TOC4"/>
            <w:numPr>
              <w:ilvl w:val="2"/>
              <w:numId w:val="1"/>
            </w:numPr>
            <w:tabs>
              <w:tab w:pos="1960" w:val="left" w:leader="none"/>
              <w:tab w:pos="1961" w:val="left" w:leader="none"/>
              <w:tab w:pos="9433" w:val="left" w:leader="none"/>
            </w:tabs>
            <w:spacing w:line="240" w:lineRule="auto" w:before="21" w:after="0"/>
            <w:ind w:left="1960" w:right="0" w:hanging="695"/>
            <w:jc w:val="left"/>
          </w:pPr>
          <w:hyperlink w:history="true" w:anchor="_bookmark84">
            <w:r>
              <w:rPr/>
              <w:t>Rationale of developing a Theory</w:t>
            </w:r>
            <w:r>
              <w:rPr>
                <w:spacing w:val="-14"/>
              </w:rPr>
              <w:t> </w:t>
            </w:r>
            <w:r>
              <w:rPr/>
              <w:t>of</w:t>
            </w:r>
            <w:r>
              <w:rPr>
                <w:spacing w:val="-3"/>
              </w:rPr>
              <w:t> </w:t>
            </w:r>
            <w:r>
              <w:rPr/>
              <w:t>Change</w:t>
              <w:tab/>
              <w:t>54</w:t>
            </w:r>
          </w:hyperlink>
        </w:p>
        <w:p>
          <w:pPr>
            <w:pStyle w:val="TOC4"/>
            <w:numPr>
              <w:ilvl w:val="2"/>
              <w:numId w:val="1"/>
            </w:numPr>
            <w:tabs>
              <w:tab w:pos="1960" w:val="left" w:leader="none"/>
              <w:tab w:pos="1961" w:val="left" w:leader="none"/>
              <w:tab w:pos="9433" w:val="left" w:leader="none"/>
            </w:tabs>
            <w:spacing w:line="240" w:lineRule="auto" w:before="21" w:after="0"/>
            <w:ind w:left="1960" w:right="0" w:hanging="695"/>
            <w:jc w:val="left"/>
          </w:pPr>
          <w:hyperlink w:history="true" w:anchor="_bookmark85">
            <w:r>
              <w:rPr/>
              <w:t>Approach to developing the Theory</w:t>
            </w:r>
            <w:r>
              <w:rPr>
                <w:spacing w:val="-13"/>
              </w:rPr>
              <w:t> </w:t>
            </w:r>
            <w:r>
              <w:rPr/>
              <w:t>of</w:t>
            </w:r>
            <w:r>
              <w:rPr>
                <w:spacing w:val="-4"/>
              </w:rPr>
              <w:t> </w:t>
            </w:r>
            <w:r>
              <w:rPr/>
              <w:t>Change</w:t>
              <w:tab/>
              <w:t>54</w:t>
            </w:r>
          </w:hyperlink>
        </w:p>
        <w:p>
          <w:pPr>
            <w:pStyle w:val="TOC4"/>
            <w:numPr>
              <w:ilvl w:val="2"/>
              <w:numId w:val="1"/>
            </w:numPr>
            <w:tabs>
              <w:tab w:pos="1960" w:val="left" w:leader="none"/>
              <w:tab w:pos="1961" w:val="left" w:leader="none"/>
              <w:tab w:pos="9433" w:val="left" w:leader="none"/>
            </w:tabs>
            <w:spacing w:line="240" w:lineRule="auto" w:before="22" w:after="0"/>
            <w:ind w:left="1960" w:right="0" w:hanging="695"/>
            <w:jc w:val="left"/>
          </w:pPr>
          <w:hyperlink w:history="true" w:anchor="_bookmark88">
            <w:r>
              <w:rPr/>
              <w:t>Implications on the design of the Theory</w:t>
            </w:r>
            <w:r>
              <w:rPr>
                <w:spacing w:val="-17"/>
              </w:rPr>
              <w:t> </w:t>
            </w:r>
            <w:r>
              <w:rPr/>
              <w:t>of</w:t>
            </w:r>
            <w:r>
              <w:rPr>
                <w:spacing w:val="-3"/>
              </w:rPr>
              <w:t> </w:t>
            </w:r>
            <w:r>
              <w:rPr/>
              <w:t>Change</w:t>
              <w:tab/>
              <w:t>57</w:t>
            </w:r>
          </w:hyperlink>
        </w:p>
        <w:p>
          <w:pPr>
            <w:pStyle w:val="TOC4"/>
            <w:numPr>
              <w:ilvl w:val="1"/>
              <w:numId w:val="1"/>
            </w:numPr>
            <w:tabs>
              <w:tab w:pos="1833" w:val="left" w:leader="none"/>
              <w:tab w:pos="1834" w:val="left" w:leader="none"/>
              <w:tab w:pos="9433" w:val="left" w:leader="none"/>
            </w:tabs>
            <w:spacing w:line="240" w:lineRule="auto" w:before="122" w:after="0"/>
            <w:ind w:left="1833" w:right="0" w:hanging="568"/>
            <w:jc w:val="left"/>
          </w:pPr>
          <w:hyperlink w:history="true" w:anchor="_bookmark91">
            <w:r>
              <w:rPr/>
              <w:t>Program</w:t>
            </w:r>
            <w:r>
              <w:rPr>
                <w:spacing w:val="-3"/>
              </w:rPr>
              <w:t> </w:t>
            </w:r>
            <w:r>
              <w:rPr/>
              <w:t>logic</w:t>
            </w:r>
            <w:r>
              <w:rPr>
                <w:spacing w:val="-2"/>
              </w:rPr>
              <w:t> </w:t>
            </w:r>
            <w:r>
              <w:rPr/>
              <w:t>model</w:t>
              <w:tab/>
              <w:t>59</w:t>
            </w:r>
          </w:hyperlink>
        </w:p>
        <w:p>
          <w:pPr>
            <w:pStyle w:val="TOC4"/>
            <w:numPr>
              <w:ilvl w:val="2"/>
              <w:numId w:val="1"/>
            </w:numPr>
            <w:tabs>
              <w:tab w:pos="1960" w:val="left" w:leader="none"/>
              <w:tab w:pos="1961" w:val="left" w:leader="none"/>
              <w:tab w:pos="9433" w:val="left" w:leader="none"/>
            </w:tabs>
            <w:spacing w:line="240" w:lineRule="auto" w:before="122" w:after="0"/>
            <w:ind w:left="1960" w:right="0" w:hanging="695"/>
            <w:jc w:val="left"/>
          </w:pPr>
          <w:hyperlink w:history="true" w:anchor="_bookmark92">
            <w:r>
              <w:rPr/>
              <w:t>Definition</w:t>
              <w:tab/>
              <w:t>59</w:t>
            </w:r>
          </w:hyperlink>
        </w:p>
        <w:p>
          <w:pPr>
            <w:pStyle w:val="TOC4"/>
            <w:numPr>
              <w:ilvl w:val="2"/>
              <w:numId w:val="1"/>
            </w:numPr>
            <w:tabs>
              <w:tab w:pos="1960" w:val="left" w:leader="none"/>
              <w:tab w:pos="1961" w:val="left" w:leader="none"/>
              <w:tab w:pos="9433" w:val="left" w:leader="none"/>
            </w:tabs>
            <w:spacing w:line="240" w:lineRule="auto" w:before="22" w:after="0"/>
            <w:ind w:left="1960" w:right="0" w:hanging="695"/>
            <w:jc w:val="left"/>
          </w:pPr>
          <w:hyperlink w:history="true" w:anchor="_bookmark93">
            <w:r>
              <w:rPr/>
              <w:t>Context on the development of program</w:t>
            </w:r>
            <w:r>
              <w:rPr>
                <w:spacing w:val="-17"/>
              </w:rPr>
              <w:t> </w:t>
            </w:r>
            <w:r>
              <w:rPr/>
              <w:t>logic</w:t>
            </w:r>
            <w:r>
              <w:rPr>
                <w:spacing w:val="-3"/>
              </w:rPr>
              <w:t> </w:t>
            </w:r>
            <w:r>
              <w:rPr/>
              <w:t>model</w:t>
              <w:tab/>
              <w:t>59</w:t>
            </w:r>
          </w:hyperlink>
        </w:p>
        <w:p>
          <w:pPr>
            <w:pStyle w:val="TOC4"/>
            <w:numPr>
              <w:ilvl w:val="1"/>
              <w:numId w:val="1"/>
            </w:numPr>
            <w:tabs>
              <w:tab w:pos="1833" w:val="left" w:leader="none"/>
              <w:tab w:pos="1834" w:val="left" w:leader="none"/>
              <w:tab w:pos="9433" w:val="left" w:leader="none"/>
            </w:tabs>
            <w:spacing w:line="240" w:lineRule="auto" w:before="119" w:after="0"/>
            <w:ind w:left="1833" w:right="0" w:hanging="568"/>
            <w:jc w:val="left"/>
          </w:pPr>
          <w:hyperlink w:history="true" w:anchor="_bookmark95">
            <w:r>
              <w:rPr/>
              <w:t>Monitoring and</w:t>
            </w:r>
            <w:r>
              <w:rPr>
                <w:spacing w:val="-8"/>
              </w:rPr>
              <w:t> </w:t>
            </w:r>
            <w:r>
              <w:rPr/>
              <w:t>evaluation</w:t>
            </w:r>
            <w:r>
              <w:rPr>
                <w:spacing w:val="-5"/>
              </w:rPr>
              <w:t> </w:t>
            </w:r>
            <w:r>
              <w:rPr/>
              <w:t>framework</w:t>
              <w:tab/>
              <w:t>60</w:t>
            </w:r>
          </w:hyperlink>
        </w:p>
        <w:p>
          <w:pPr>
            <w:pStyle w:val="TOC1"/>
            <w:numPr>
              <w:ilvl w:val="0"/>
              <w:numId w:val="1"/>
            </w:numPr>
            <w:tabs>
              <w:tab w:pos="1266" w:val="left" w:leader="none"/>
              <w:tab w:pos="1267" w:val="left" w:leader="none"/>
              <w:tab w:pos="9433" w:val="left" w:leader="none"/>
            </w:tabs>
            <w:spacing w:line="240" w:lineRule="auto" w:before="201" w:after="0"/>
            <w:ind w:left="1266" w:right="0" w:hanging="567"/>
            <w:jc w:val="left"/>
          </w:pPr>
          <w:hyperlink w:history="true" w:anchor="_bookmark97">
            <w:r>
              <w:rPr/>
              <w:t>Looking</w:t>
            </w:r>
            <w:r>
              <w:rPr>
                <w:spacing w:val="-3"/>
              </w:rPr>
              <w:t> </w:t>
            </w:r>
            <w:r>
              <w:rPr/>
              <w:t>ahead</w:t>
              <w:tab/>
              <w:t>62</w:t>
            </w:r>
          </w:hyperlink>
        </w:p>
        <w:p>
          <w:pPr>
            <w:pStyle w:val="TOC1"/>
            <w:tabs>
              <w:tab w:pos="9663" w:val="right" w:leader="none"/>
            </w:tabs>
            <w:spacing w:before="221"/>
            <w:ind w:left="695" w:firstLine="0"/>
          </w:pPr>
          <w:r>
            <w:rPr>
              <w:position w:val="-3"/>
            </w:rPr>
            <w:drawing>
              <wp:inline distT="0" distB="0" distL="0" distR="0">
                <wp:extent cx="654558" cy="116586"/>
                <wp:effectExtent l="0" t="0" r="0" b="0"/>
                <wp:docPr id="7" name="image17.png"/>
                <wp:cNvGraphicFramePr>
                  <a:graphicFrameLocks noChangeAspect="1"/>
                </wp:cNvGraphicFramePr>
                <a:graphic>
                  <a:graphicData uri="http://schemas.openxmlformats.org/drawingml/2006/picture">
                    <pic:pic>
                      <pic:nvPicPr>
                        <pic:cNvPr id="8" name="image17.png"/>
                        <pic:cNvPicPr/>
                      </pic:nvPicPr>
                      <pic:blipFill>
                        <a:blip r:embed="rId24" cstate="print"/>
                        <a:stretch>
                          <a:fillRect/>
                        </a:stretch>
                      </pic:blipFill>
                      <pic:spPr>
                        <a:xfrm>
                          <a:off x="0" y="0"/>
                          <a:ext cx="654558" cy="116586"/>
                        </a:xfrm>
                        <a:prstGeom prst="rect">
                          <a:avLst/>
                        </a:prstGeom>
                      </pic:spPr>
                    </pic:pic>
                  </a:graphicData>
                </a:graphic>
              </wp:inline>
            </w:drawing>
          </w:r>
          <w:r>
            <w:rPr>
              <w:position w:val="-3"/>
            </w:rPr>
          </w:r>
          <w:r>
            <w:rPr>
              <w:rFonts w:ascii="Times New Roman"/>
              <w:sz w:val="20"/>
            </w:rPr>
            <w:t>   </w:t>
          </w:r>
          <w:r>
            <w:rPr>
              <w:rFonts w:ascii="Times New Roman"/>
              <w:spacing w:val="17"/>
              <w:sz w:val="20"/>
            </w:rPr>
            <w:t> </w:t>
          </w:r>
          <w:hyperlink w:history="true" w:anchor="_bookmark99">
            <w:r>
              <w:rPr/>
              <w:t>Number of</w:t>
            </w:r>
            <w:r>
              <w:rPr>
                <w:spacing w:val="-4"/>
              </w:rPr>
              <w:t> </w:t>
            </w:r>
            <w:r>
              <w:rPr/>
              <w:t>stakeholders</w:t>
            </w:r>
            <w:r>
              <w:rPr>
                <w:spacing w:val="-2"/>
              </w:rPr>
              <w:t> </w:t>
            </w:r>
            <w:r>
              <w:rPr/>
              <w:t>consulted</w:t>
              <w:tab/>
              <w:t>66</w:t>
            </w:r>
          </w:hyperlink>
        </w:p>
        <w:p>
          <w:pPr>
            <w:pStyle w:val="TOC7"/>
            <w:tabs>
              <w:tab w:pos="9663" w:val="right" w:leader="none"/>
            </w:tabs>
            <w:spacing w:before="221" w:after="240"/>
          </w:pPr>
          <w:r>
            <w:rPr/>
            <w:drawing>
              <wp:anchor distT="0" distB="0" distL="0" distR="0" allowOverlap="1" layoutInCell="1" locked="0" behindDoc="0" simplePos="0" relativeHeight="251666432">
                <wp:simplePos x="0" y="0"/>
                <wp:positionH relativeFrom="page">
                  <wp:posOffset>911352</wp:posOffset>
                </wp:positionH>
                <wp:positionV relativeFrom="paragraph">
                  <wp:posOffset>164062</wp:posOffset>
                </wp:positionV>
                <wp:extent cx="651510" cy="116586"/>
                <wp:effectExtent l="0" t="0" r="0" b="0"/>
                <wp:wrapNone/>
                <wp:docPr id="9" name="image18.png"/>
                <wp:cNvGraphicFramePr>
                  <a:graphicFrameLocks noChangeAspect="1"/>
                </wp:cNvGraphicFramePr>
                <a:graphic>
                  <a:graphicData uri="http://schemas.openxmlformats.org/drawingml/2006/picture">
                    <pic:pic>
                      <pic:nvPicPr>
                        <pic:cNvPr id="10" name="image18.png"/>
                        <pic:cNvPicPr/>
                      </pic:nvPicPr>
                      <pic:blipFill>
                        <a:blip r:embed="rId25" cstate="print"/>
                        <a:stretch>
                          <a:fillRect/>
                        </a:stretch>
                      </pic:blipFill>
                      <pic:spPr>
                        <a:xfrm>
                          <a:off x="0" y="0"/>
                          <a:ext cx="651510" cy="116586"/>
                        </a:xfrm>
                        <a:prstGeom prst="rect">
                          <a:avLst/>
                        </a:prstGeom>
                      </pic:spPr>
                    </pic:pic>
                  </a:graphicData>
                </a:graphic>
              </wp:anchor>
            </w:drawing>
          </w:r>
          <w:hyperlink w:history="true" w:anchor="_bookmark100">
            <w:r>
              <w:rPr/>
              <w:t>Stakeholder interview</w:t>
            </w:r>
            <w:r>
              <w:rPr>
                <w:spacing w:val="-4"/>
              </w:rPr>
              <w:t> </w:t>
            </w:r>
            <w:r>
              <w:rPr/>
              <w:t>consultation guide</w:t>
              <w:tab/>
              <w:t>67</w:t>
            </w:r>
          </w:hyperlink>
        </w:p>
        <w:p>
          <w:pPr>
            <w:pStyle w:val="TOC6"/>
            <w:tabs>
              <w:tab w:pos="9663" w:val="right" w:leader="none"/>
            </w:tabs>
            <w:spacing w:before="596"/>
            <w:rPr>
              <w:b w:val="0"/>
              <w:i w:val="0"/>
              <w:sz w:val="18"/>
            </w:rPr>
          </w:pPr>
          <w:hyperlink w:history="true" w:anchor="_bookmark101">
            <w:r>
              <w:rPr>
                <w:b w:val="0"/>
                <w:i w:val="0"/>
                <w:sz w:val="18"/>
              </w:rPr>
              <w:t>Alignment with</w:t>
            </w:r>
            <w:r>
              <w:rPr>
                <w:b w:val="0"/>
                <w:i w:val="0"/>
                <w:spacing w:val="-1"/>
                <w:sz w:val="18"/>
              </w:rPr>
              <w:t> </w:t>
            </w:r>
            <w:r>
              <w:rPr>
                <w:b w:val="0"/>
                <w:i/>
                <w:sz w:val="18"/>
              </w:rPr>
              <w:t>Our</w:t>
            </w:r>
            <w:r>
              <w:rPr>
                <w:b w:val="0"/>
                <w:i/>
                <w:spacing w:val="-1"/>
                <w:sz w:val="18"/>
              </w:rPr>
              <w:t> </w:t>
            </w:r>
            <w:r>
              <w:rPr>
                <w:b w:val="0"/>
                <w:i/>
                <w:sz w:val="18"/>
              </w:rPr>
              <w:t>Way</w:t>
              <w:tab/>
            </w:r>
            <w:r>
              <w:rPr>
                <w:b w:val="0"/>
                <w:i w:val="0"/>
                <w:sz w:val="18"/>
              </w:rPr>
              <w:t>67</w:t>
            </w:r>
          </w:hyperlink>
        </w:p>
        <w:p>
          <w:pPr>
            <w:pStyle w:val="TOC6"/>
            <w:tabs>
              <w:tab w:pos="9663" w:val="right" w:leader="none"/>
            </w:tabs>
            <w:spacing w:before="22"/>
            <w:rPr>
              <w:b w:val="0"/>
              <w:i w:val="0"/>
              <w:sz w:val="18"/>
            </w:rPr>
          </w:pPr>
          <w:hyperlink w:history="true" w:anchor="_bookmark102">
            <w:r>
              <w:rPr>
                <w:b w:val="0"/>
                <w:i/>
                <w:sz w:val="18"/>
              </w:rPr>
              <w:t>Our</w:t>
            </w:r>
            <w:r>
              <w:rPr>
                <w:b w:val="0"/>
                <w:i/>
                <w:spacing w:val="-2"/>
                <w:sz w:val="18"/>
              </w:rPr>
              <w:t> </w:t>
            </w:r>
            <w:r>
              <w:rPr>
                <w:b w:val="0"/>
                <w:i/>
                <w:sz w:val="18"/>
              </w:rPr>
              <w:t>Way</w:t>
            </w:r>
            <w:r>
              <w:rPr>
                <w:b w:val="0"/>
                <w:i/>
                <w:spacing w:val="-2"/>
                <w:sz w:val="18"/>
              </w:rPr>
              <w:t> </w:t>
            </w:r>
            <w:r>
              <w:rPr>
                <w:b w:val="0"/>
                <w:i w:val="0"/>
                <w:sz w:val="18"/>
              </w:rPr>
              <w:t>objectives</w:t>
              <w:tab/>
              <w:t>67</w:t>
            </w:r>
          </w:hyperlink>
        </w:p>
        <w:p>
          <w:pPr>
            <w:pStyle w:val="TOC4"/>
            <w:tabs>
              <w:tab w:pos="9663" w:val="right" w:leader="none"/>
            </w:tabs>
            <w:ind w:left="1266" w:firstLine="0"/>
          </w:pPr>
          <w:hyperlink w:history="true" w:anchor="_bookmark103">
            <w:r>
              <w:rPr/>
              <w:t>Making</w:t>
            </w:r>
            <w:r>
              <w:rPr>
                <w:spacing w:val="-1"/>
              </w:rPr>
              <w:t> </w:t>
            </w:r>
            <w:r>
              <w:rPr/>
              <w:t>changes</w:t>
              <w:tab/>
              <w:t>67</w:t>
            </w:r>
          </w:hyperlink>
        </w:p>
        <w:p>
          <w:pPr>
            <w:pStyle w:val="TOC4"/>
            <w:tabs>
              <w:tab w:pos="9663" w:val="right" w:leader="none"/>
            </w:tabs>
            <w:ind w:left="1266" w:firstLine="0"/>
          </w:pPr>
          <w:hyperlink w:history="true" w:anchor="_bookmark104">
            <w:r>
              <w:rPr/>
              <w:t>Breaking Cycles</w:t>
            </w:r>
            <w:r>
              <w:rPr>
                <w:spacing w:val="-3"/>
              </w:rPr>
              <w:t> </w:t>
            </w:r>
            <w:r>
              <w:rPr/>
              <w:t>Action</w:t>
            </w:r>
            <w:r>
              <w:rPr>
                <w:spacing w:val="1"/>
              </w:rPr>
              <w:t> </w:t>
            </w:r>
            <w:r>
              <w:rPr/>
              <w:t>Plans</w:t>
              <w:tab/>
              <w:t>67</w:t>
            </w:r>
          </w:hyperlink>
        </w:p>
        <w:p>
          <w:pPr>
            <w:pStyle w:val="TOC4"/>
            <w:tabs>
              <w:tab w:pos="9663" w:val="right" w:leader="none"/>
            </w:tabs>
            <w:ind w:left="1266" w:firstLine="0"/>
          </w:pPr>
          <w:hyperlink w:history="true" w:anchor="_bookmark105">
            <w:r>
              <w:rPr/>
              <w:t>Final</w:t>
            </w:r>
            <w:r>
              <w:rPr>
                <w:spacing w:val="-1"/>
              </w:rPr>
              <w:t> </w:t>
            </w:r>
            <w:r>
              <w:rPr/>
              <w:t>Comments</w:t>
              <w:tab/>
              <w:t>67</w:t>
            </w:r>
          </w:hyperlink>
        </w:p>
        <w:p>
          <w:pPr>
            <w:pStyle w:val="TOC1"/>
            <w:tabs>
              <w:tab w:pos="9663" w:val="right" w:leader="none"/>
            </w:tabs>
            <w:spacing w:before="202"/>
            <w:ind w:left="695" w:firstLine="0"/>
          </w:pPr>
          <w:r>
            <w:rPr>
              <w:position w:val="-3"/>
            </w:rPr>
            <w:drawing>
              <wp:inline distT="0" distB="0" distL="0" distR="0">
                <wp:extent cx="653034" cy="116585"/>
                <wp:effectExtent l="0" t="0" r="0" b="0"/>
                <wp:docPr id="11" name="image19.png"/>
                <wp:cNvGraphicFramePr>
                  <a:graphicFrameLocks noChangeAspect="1"/>
                </wp:cNvGraphicFramePr>
                <a:graphic>
                  <a:graphicData uri="http://schemas.openxmlformats.org/drawingml/2006/picture">
                    <pic:pic>
                      <pic:nvPicPr>
                        <pic:cNvPr id="12" name="image19.png"/>
                        <pic:cNvPicPr/>
                      </pic:nvPicPr>
                      <pic:blipFill>
                        <a:blip r:embed="rId26" cstate="print"/>
                        <a:stretch>
                          <a:fillRect/>
                        </a:stretch>
                      </pic:blipFill>
                      <pic:spPr>
                        <a:xfrm>
                          <a:off x="0" y="0"/>
                          <a:ext cx="653034" cy="116585"/>
                        </a:xfrm>
                        <a:prstGeom prst="rect">
                          <a:avLst/>
                        </a:prstGeom>
                      </pic:spPr>
                    </pic:pic>
                  </a:graphicData>
                </a:graphic>
              </wp:inline>
            </w:drawing>
          </w:r>
          <w:r>
            <w:rPr>
              <w:position w:val="-3"/>
            </w:rPr>
          </w:r>
          <w:r>
            <w:rPr>
              <w:rFonts w:ascii="Times New Roman"/>
              <w:sz w:val="20"/>
            </w:rPr>
            <w:t>   </w:t>
          </w:r>
          <w:r>
            <w:rPr>
              <w:rFonts w:ascii="Times New Roman"/>
              <w:spacing w:val="22"/>
              <w:sz w:val="20"/>
            </w:rPr>
            <w:t> </w:t>
          </w:r>
          <w:hyperlink w:history="true" w:anchor="_bookmark106">
            <w:r>
              <w:rPr/>
              <w:t>Network</w:t>
            </w:r>
            <w:r>
              <w:rPr>
                <w:spacing w:val="-3"/>
              </w:rPr>
              <w:t> </w:t>
            </w:r>
            <w:r>
              <w:rPr/>
              <w:t>analysis</w:t>
            </w:r>
            <w:r>
              <w:rPr>
                <w:spacing w:val="-1"/>
              </w:rPr>
              <w:t> </w:t>
            </w:r>
            <w:r>
              <w:rPr/>
              <w:t>survey</w:t>
              <w:tab/>
              <w:t>68</w:t>
            </w:r>
          </w:hyperlink>
        </w:p>
        <w:p>
          <w:pPr>
            <w:pStyle w:val="TOC7"/>
            <w:tabs>
              <w:tab w:pos="9663" w:val="right" w:leader="none"/>
            </w:tabs>
            <w:ind w:left="1960"/>
          </w:pPr>
          <w:r>
            <w:rPr/>
            <w:drawing>
              <wp:anchor distT="0" distB="0" distL="0" distR="0" allowOverlap="1" layoutInCell="1" locked="0" behindDoc="0" simplePos="0" relativeHeight="251667456">
                <wp:simplePos x="0" y="0"/>
                <wp:positionH relativeFrom="page">
                  <wp:posOffset>911352</wp:posOffset>
                </wp:positionH>
                <wp:positionV relativeFrom="paragraph">
                  <wp:posOffset>161905</wp:posOffset>
                </wp:positionV>
                <wp:extent cx="659129" cy="116584"/>
                <wp:effectExtent l="0" t="0" r="0" b="0"/>
                <wp:wrapNone/>
                <wp:docPr id="13" name="image20.png"/>
                <wp:cNvGraphicFramePr>
                  <a:graphicFrameLocks noChangeAspect="1"/>
                </wp:cNvGraphicFramePr>
                <a:graphic>
                  <a:graphicData uri="http://schemas.openxmlformats.org/drawingml/2006/picture">
                    <pic:pic>
                      <pic:nvPicPr>
                        <pic:cNvPr id="14" name="image20.png"/>
                        <pic:cNvPicPr/>
                      </pic:nvPicPr>
                      <pic:blipFill>
                        <a:blip r:embed="rId27" cstate="print"/>
                        <a:stretch>
                          <a:fillRect/>
                        </a:stretch>
                      </pic:blipFill>
                      <pic:spPr>
                        <a:xfrm>
                          <a:off x="0" y="0"/>
                          <a:ext cx="659129" cy="116584"/>
                        </a:xfrm>
                        <a:prstGeom prst="rect">
                          <a:avLst/>
                        </a:prstGeom>
                      </pic:spPr>
                    </pic:pic>
                  </a:graphicData>
                </a:graphic>
              </wp:anchor>
            </w:drawing>
          </w:r>
          <w:hyperlink w:history="true" w:anchor="_bookmark107">
            <w:r>
              <w:rPr/>
              <w:t>Monitoring and</w:t>
            </w:r>
            <w:r>
              <w:rPr>
                <w:spacing w:val="-3"/>
              </w:rPr>
              <w:t> </w:t>
            </w:r>
            <w:r>
              <w:rPr/>
              <w:t>evaluation</w:t>
            </w:r>
            <w:r>
              <w:rPr>
                <w:spacing w:val="-3"/>
              </w:rPr>
              <w:t> </w:t>
            </w:r>
            <w:r>
              <w:rPr/>
              <w:t>framework</w:t>
              <w:tab/>
              <w:t>72</w:t>
            </w:r>
          </w:hyperlink>
        </w:p>
      </w:sdtContent>
    </w:sdt>
    <w:p>
      <w:pPr>
        <w:spacing w:after="0"/>
        <w:sectPr>
          <w:type w:val="continuous"/>
          <w:pgSz w:w="11910" w:h="16840"/>
          <w:pgMar w:top="866" w:bottom="2657" w:left="740" w:right="720"/>
        </w:sectPr>
      </w:pPr>
    </w:p>
    <w:p>
      <w:pPr>
        <w:pStyle w:val="Heading1"/>
        <w:spacing w:before="592"/>
      </w:pPr>
      <w:bookmarkStart w:name="_bookmark0" w:id="1"/>
      <w:bookmarkEnd w:id="1"/>
      <w:r>
        <w:rPr/>
      </w:r>
      <w:r>
        <w:rPr/>
        <w:t>Acknowledgement</w:t>
      </w:r>
    </w:p>
    <w:p>
      <w:pPr>
        <w:pStyle w:val="BodyText"/>
        <w:spacing w:before="4"/>
        <w:rPr>
          <w:sz w:val="77"/>
        </w:rPr>
      </w:pPr>
    </w:p>
    <w:p>
      <w:pPr>
        <w:spacing w:before="1"/>
        <w:ind w:left="700" w:right="764" w:firstLine="0"/>
        <w:jc w:val="both"/>
        <w:rPr>
          <w:sz w:val="24"/>
        </w:rPr>
      </w:pPr>
      <w:r>
        <w:rPr>
          <w:sz w:val="24"/>
        </w:rPr>
        <w:t>We acknowledge the Traditional Custodians of the lands, waters, seas</w:t>
      </w:r>
      <w:r>
        <w:rPr>
          <w:spacing w:val="-34"/>
          <w:sz w:val="24"/>
        </w:rPr>
        <w:t> </w:t>
      </w:r>
      <w:r>
        <w:rPr>
          <w:sz w:val="24"/>
        </w:rPr>
        <w:t>and communities across the areas where this project has taken place, for they are the keepers of the memories, traditions and cultures of their Country. We pay our respect to the Elders past, present and</w:t>
      </w:r>
      <w:r>
        <w:rPr>
          <w:spacing w:val="-7"/>
          <w:sz w:val="24"/>
        </w:rPr>
        <w:t> </w:t>
      </w:r>
      <w:r>
        <w:rPr>
          <w:sz w:val="24"/>
        </w:rPr>
        <w:t>emerging.</w:t>
      </w:r>
    </w:p>
    <w:p>
      <w:pPr>
        <w:spacing w:before="170"/>
        <w:ind w:left="700" w:right="887" w:firstLine="0"/>
        <w:jc w:val="left"/>
        <w:rPr>
          <w:sz w:val="24"/>
        </w:rPr>
      </w:pPr>
      <w:r>
        <w:rPr>
          <w:sz w:val="24"/>
        </w:rPr>
        <w:t>As a Project Team from diverse cultural backgrounds, we appreciate the opportunity to learn and grow towards making a difference for Aboriginal and Torres Strait Islander children and their families across Queensland.</w:t>
      </w:r>
    </w:p>
    <w:p>
      <w:pPr>
        <w:spacing w:before="169"/>
        <w:ind w:left="700" w:right="887" w:firstLine="0"/>
        <w:jc w:val="left"/>
        <w:rPr>
          <w:sz w:val="24"/>
        </w:rPr>
      </w:pPr>
      <w:r>
        <w:rPr>
          <w:sz w:val="24"/>
        </w:rPr>
        <w:t>We would also like to thank all people in communities, service providers and government agency/partner organisations for their important contribution to this project.</w:t>
      </w:r>
    </w:p>
    <w:p>
      <w:pPr>
        <w:pStyle w:val="BodyText"/>
        <w:rPr>
          <w:sz w:val="20"/>
        </w:rPr>
      </w:pPr>
    </w:p>
    <w:p>
      <w:pPr>
        <w:pStyle w:val="BodyText"/>
        <w:spacing w:before="6"/>
        <w:rPr>
          <w:sz w:val="24"/>
        </w:rPr>
      </w:pPr>
      <w:r>
        <w:rPr/>
        <w:drawing>
          <wp:anchor distT="0" distB="0" distL="0" distR="0" allowOverlap="1" layoutInCell="1" locked="0" behindDoc="0" simplePos="0" relativeHeight="10">
            <wp:simplePos x="0" y="0"/>
            <wp:positionH relativeFrom="page">
              <wp:posOffset>914400</wp:posOffset>
            </wp:positionH>
            <wp:positionV relativeFrom="paragraph">
              <wp:posOffset>214061</wp:posOffset>
            </wp:positionV>
            <wp:extent cx="5721237" cy="1768221"/>
            <wp:effectExtent l="0" t="0" r="0" b="0"/>
            <wp:wrapTopAndBottom/>
            <wp:docPr id="15" name="image21.jpeg"/>
            <wp:cNvGraphicFramePr>
              <a:graphicFrameLocks noChangeAspect="1"/>
            </wp:cNvGraphicFramePr>
            <a:graphic>
              <a:graphicData uri="http://schemas.openxmlformats.org/drawingml/2006/picture">
                <pic:pic>
                  <pic:nvPicPr>
                    <pic:cNvPr id="16" name="image21.jpeg"/>
                    <pic:cNvPicPr/>
                  </pic:nvPicPr>
                  <pic:blipFill>
                    <a:blip r:embed="rId30" cstate="print"/>
                    <a:stretch>
                      <a:fillRect/>
                    </a:stretch>
                  </pic:blipFill>
                  <pic:spPr>
                    <a:xfrm>
                      <a:off x="0" y="0"/>
                      <a:ext cx="5721237" cy="1768221"/>
                    </a:xfrm>
                    <a:prstGeom prst="rect">
                      <a:avLst/>
                    </a:prstGeom>
                  </pic:spPr>
                </pic:pic>
              </a:graphicData>
            </a:graphic>
          </wp:anchor>
        </w:drawing>
      </w:r>
    </w:p>
    <w:p>
      <w:pPr>
        <w:pStyle w:val="BodyText"/>
        <w:rPr>
          <w:sz w:val="28"/>
        </w:rPr>
      </w:pPr>
    </w:p>
    <w:p>
      <w:pPr>
        <w:spacing w:before="237"/>
        <w:ind w:left="700" w:right="0" w:firstLine="0"/>
        <w:jc w:val="both"/>
        <w:rPr>
          <w:i/>
          <w:sz w:val="18"/>
        </w:rPr>
      </w:pPr>
      <w:r>
        <w:rPr>
          <w:i/>
          <w:sz w:val="18"/>
        </w:rPr>
        <w:t>Artwor Nyiirun Gathay Yayn.Giliyn (“Walking Together”) by Birrbay artist Angela Marr-Grogan</w:t>
      </w:r>
    </w:p>
    <w:p>
      <w:pPr>
        <w:spacing w:after="0"/>
        <w:jc w:val="both"/>
        <w:rPr>
          <w:sz w:val="18"/>
        </w:rPr>
        <w:sectPr>
          <w:headerReference w:type="default" r:id="rId28"/>
          <w:footerReference w:type="default" r:id="rId29"/>
          <w:pgSz w:w="11910" w:h="16840"/>
          <w:pgMar w:header="650" w:footer="420" w:top="840" w:bottom="620" w:left="740" w:right="720"/>
          <w:pgNumType w:start="1"/>
        </w:sectPr>
      </w:pPr>
    </w:p>
    <w:p>
      <w:pPr>
        <w:pStyle w:val="BodyText"/>
        <w:rPr>
          <w:i/>
          <w:sz w:val="20"/>
        </w:rPr>
      </w:pPr>
    </w:p>
    <w:p>
      <w:pPr>
        <w:pStyle w:val="BodyText"/>
        <w:spacing w:before="5"/>
        <w:rPr>
          <w:i/>
          <w:sz w:val="20"/>
        </w:rPr>
      </w:pPr>
    </w:p>
    <w:p>
      <w:pPr>
        <w:pStyle w:val="Heading1"/>
      </w:pPr>
      <w:bookmarkStart w:name="_bookmark1" w:id="2"/>
      <w:bookmarkEnd w:id="2"/>
      <w:r>
        <w:rPr/>
      </w:r>
      <w:r>
        <w:rPr/>
        <w:t>Limitation of our work</w:t>
      </w:r>
    </w:p>
    <w:p>
      <w:pPr>
        <w:pStyle w:val="Heading2"/>
        <w:spacing w:before="490"/>
        <w:ind w:left="700" w:firstLine="0"/>
      </w:pPr>
      <w:bookmarkStart w:name="_bookmark2" w:id="3"/>
      <w:bookmarkEnd w:id="3"/>
      <w:r>
        <w:rPr>
          <w:b w:val="0"/>
        </w:rPr>
      </w:r>
      <w:r>
        <w:rPr>
          <w:color w:val="61B5E4"/>
        </w:rPr>
        <w:t>General use restriction</w:t>
      </w:r>
    </w:p>
    <w:p>
      <w:pPr>
        <w:pStyle w:val="BodyText"/>
        <w:spacing w:line="264" w:lineRule="auto" w:before="20"/>
        <w:ind w:left="700" w:right="746"/>
      </w:pPr>
      <w:r>
        <w:rPr/>
        <w:t>This report is prepared solely for the internal use of the Department of Children, Youth Justice and Multicultural Affairs. This report is not intended to and should not be used or relied upon by anyone else and we accept no duty of care to any other person or entity. The report has been prepared for the purpose of evaluating progress made with the </w:t>
      </w:r>
      <w:r>
        <w:rPr>
          <w:i/>
        </w:rPr>
        <w:t>Our Way </w:t>
      </w:r>
      <w:r>
        <w:rPr/>
        <w:t>Monitoring and Evaluation Framework and the </w:t>
      </w:r>
      <w:r>
        <w:rPr>
          <w:i/>
        </w:rPr>
        <w:t>Changing Tracks </w:t>
      </w:r>
      <w:r>
        <w:rPr/>
        <w:t>Evaluation Plan. You should not refer to or use our name or the advice for any other</w:t>
      </w:r>
      <w:r>
        <w:rPr>
          <w:spacing w:val="-6"/>
        </w:rPr>
        <w:t> </w:t>
      </w:r>
      <w:r>
        <w:rPr/>
        <w:t>purpose.</w:t>
      </w:r>
    </w:p>
    <w:p>
      <w:pPr>
        <w:spacing w:after="0" w:line="264" w:lineRule="auto"/>
        <w:sectPr>
          <w:pgSz w:w="11910" w:h="16840"/>
          <w:pgMar w:header="650" w:footer="420" w:top="840" w:bottom="620" w:left="740" w:right="720"/>
        </w:sectPr>
      </w:pPr>
    </w:p>
    <w:p>
      <w:pPr>
        <w:pStyle w:val="BodyText"/>
        <w:rPr>
          <w:sz w:val="20"/>
        </w:rPr>
      </w:pPr>
    </w:p>
    <w:p>
      <w:pPr>
        <w:pStyle w:val="BodyText"/>
        <w:spacing w:before="5"/>
        <w:rPr>
          <w:sz w:val="20"/>
        </w:rPr>
      </w:pPr>
    </w:p>
    <w:p>
      <w:pPr>
        <w:pStyle w:val="Heading1"/>
      </w:pPr>
      <w:bookmarkStart w:name="_bookmark3" w:id="4"/>
      <w:bookmarkEnd w:id="4"/>
      <w:r>
        <w:rPr/>
      </w:r>
      <w:r>
        <w:rPr/>
        <w:t>Glossary</w:t>
      </w:r>
    </w:p>
    <w:p>
      <w:pPr>
        <w:pStyle w:val="BodyText"/>
        <w:rPr>
          <w:sz w:val="20"/>
        </w:rPr>
      </w:pPr>
    </w:p>
    <w:p>
      <w:pPr>
        <w:pStyle w:val="BodyText"/>
        <w:spacing w:before="4"/>
        <w:rPr>
          <w:sz w:val="19"/>
        </w:rPr>
      </w:pPr>
    </w:p>
    <w:tbl>
      <w:tblPr>
        <w:tblW w:w="0" w:type="auto"/>
        <w:jc w:val="left"/>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2"/>
        <w:gridCol w:w="7081"/>
      </w:tblGrid>
      <w:tr>
        <w:trPr>
          <w:trHeight w:val="318" w:hRule="atLeast"/>
        </w:trPr>
        <w:tc>
          <w:tcPr>
            <w:tcW w:w="1962" w:type="dxa"/>
            <w:tcBorders>
              <w:top w:val="single" w:sz="24" w:space="0" w:color="61B5E4"/>
              <w:bottom w:val="single" w:sz="4" w:space="0" w:color="000000"/>
            </w:tcBorders>
          </w:tcPr>
          <w:p>
            <w:pPr>
              <w:pStyle w:val="TableParagraph"/>
              <w:spacing w:before="57"/>
              <w:ind w:left="71"/>
              <w:rPr>
                <w:b/>
                <w:sz w:val="17"/>
              </w:rPr>
            </w:pPr>
            <w:r>
              <w:rPr>
                <w:b/>
                <w:sz w:val="17"/>
              </w:rPr>
              <w:t>Acronym</w:t>
            </w:r>
          </w:p>
        </w:tc>
        <w:tc>
          <w:tcPr>
            <w:tcW w:w="7081" w:type="dxa"/>
            <w:tcBorders>
              <w:top w:val="single" w:sz="24" w:space="0" w:color="61B5E4"/>
              <w:bottom w:val="single" w:sz="4" w:space="0" w:color="000000"/>
            </w:tcBorders>
          </w:tcPr>
          <w:p>
            <w:pPr>
              <w:pStyle w:val="TableParagraph"/>
              <w:spacing w:before="57"/>
              <w:ind w:left="882"/>
              <w:rPr>
                <w:b/>
                <w:sz w:val="17"/>
              </w:rPr>
            </w:pPr>
            <w:r>
              <w:rPr>
                <w:b/>
                <w:sz w:val="17"/>
              </w:rPr>
              <w:t>Full name</w:t>
            </w:r>
          </w:p>
        </w:tc>
      </w:tr>
      <w:tr>
        <w:trPr>
          <w:trHeight w:val="527"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ACCO</w:t>
            </w:r>
          </w:p>
        </w:tc>
        <w:tc>
          <w:tcPr>
            <w:tcW w:w="7081" w:type="dxa"/>
            <w:tcBorders>
              <w:top w:val="single" w:sz="4" w:space="0" w:color="000000"/>
              <w:bottom w:val="single" w:sz="4" w:space="0" w:color="000000"/>
            </w:tcBorders>
          </w:tcPr>
          <w:p>
            <w:pPr>
              <w:pStyle w:val="TableParagraph"/>
              <w:spacing w:before="57"/>
              <w:ind w:left="882" w:right="1086"/>
              <w:rPr>
                <w:sz w:val="17"/>
              </w:rPr>
            </w:pPr>
            <w:r>
              <w:rPr>
                <w:sz w:val="17"/>
              </w:rPr>
              <w:t>Aboriginal and Torres Strait Islander Community Controlled Organisation</w:t>
            </w:r>
          </w:p>
        </w:tc>
      </w:tr>
      <w:tr>
        <w:trPr>
          <w:trHeight w:val="321"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DCYJMA</w:t>
            </w:r>
          </w:p>
        </w:tc>
        <w:tc>
          <w:tcPr>
            <w:tcW w:w="7081" w:type="dxa"/>
            <w:tcBorders>
              <w:top w:val="single" w:sz="4" w:space="0" w:color="000000"/>
              <w:bottom w:val="single" w:sz="4" w:space="0" w:color="000000"/>
            </w:tcBorders>
          </w:tcPr>
          <w:p>
            <w:pPr>
              <w:pStyle w:val="TableParagraph"/>
              <w:spacing w:before="57"/>
              <w:ind w:left="882"/>
              <w:rPr>
                <w:sz w:val="17"/>
              </w:rPr>
            </w:pPr>
            <w:r>
              <w:rPr>
                <w:sz w:val="17"/>
              </w:rPr>
              <w:t>Department of Children, Youth Justice and Multicultural Affairs</w:t>
            </w:r>
          </w:p>
        </w:tc>
      </w:tr>
      <w:tr>
        <w:trPr>
          <w:trHeight w:val="527"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DSDSATSIP</w:t>
            </w:r>
          </w:p>
        </w:tc>
        <w:tc>
          <w:tcPr>
            <w:tcW w:w="7081" w:type="dxa"/>
            <w:tcBorders>
              <w:top w:val="single" w:sz="4" w:space="0" w:color="000000"/>
              <w:bottom w:val="single" w:sz="4" w:space="0" w:color="000000"/>
            </w:tcBorders>
          </w:tcPr>
          <w:p>
            <w:pPr>
              <w:pStyle w:val="TableParagraph"/>
              <w:spacing w:before="57"/>
              <w:ind w:left="882" w:right="294"/>
              <w:rPr>
                <w:sz w:val="17"/>
              </w:rPr>
            </w:pPr>
            <w:r>
              <w:rPr>
                <w:sz w:val="17"/>
              </w:rPr>
              <w:t>Department of Seniors, Disability Services and Aboriginal and Torres Strait Islander Partnerships</w:t>
            </w:r>
          </w:p>
        </w:tc>
      </w:tr>
      <w:tr>
        <w:trPr>
          <w:trHeight w:val="321"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DoE</w:t>
            </w:r>
          </w:p>
        </w:tc>
        <w:tc>
          <w:tcPr>
            <w:tcW w:w="7081" w:type="dxa"/>
            <w:tcBorders>
              <w:top w:val="single" w:sz="4" w:space="0" w:color="000000"/>
              <w:bottom w:val="single" w:sz="4" w:space="0" w:color="000000"/>
            </w:tcBorders>
          </w:tcPr>
          <w:p>
            <w:pPr>
              <w:pStyle w:val="TableParagraph"/>
              <w:spacing w:before="57"/>
              <w:ind w:left="882"/>
              <w:rPr>
                <w:sz w:val="17"/>
              </w:rPr>
            </w:pPr>
            <w:r>
              <w:rPr>
                <w:sz w:val="17"/>
              </w:rPr>
              <w:t>Department of Education</w:t>
            </w:r>
          </w:p>
        </w:tc>
      </w:tr>
      <w:tr>
        <w:trPr>
          <w:trHeight w:val="319"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DESBT</w:t>
            </w:r>
          </w:p>
        </w:tc>
        <w:tc>
          <w:tcPr>
            <w:tcW w:w="7081" w:type="dxa"/>
            <w:tcBorders>
              <w:top w:val="single" w:sz="4" w:space="0" w:color="000000"/>
              <w:bottom w:val="single" w:sz="4" w:space="0" w:color="000000"/>
            </w:tcBorders>
          </w:tcPr>
          <w:p>
            <w:pPr>
              <w:pStyle w:val="TableParagraph"/>
              <w:spacing w:before="57"/>
              <w:ind w:left="882"/>
              <w:rPr>
                <w:sz w:val="17"/>
              </w:rPr>
            </w:pPr>
            <w:r>
              <w:rPr>
                <w:sz w:val="17"/>
              </w:rPr>
              <w:t>Department of Employment, Small Business and Training</w:t>
            </w:r>
          </w:p>
        </w:tc>
      </w:tr>
      <w:tr>
        <w:trPr>
          <w:trHeight w:val="321"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DCHDE</w:t>
            </w:r>
          </w:p>
        </w:tc>
        <w:tc>
          <w:tcPr>
            <w:tcW w:w="7081" w:type="dxa"/>
            <w:tcBorders>
              <w:top w:val="single" w:sz="4" w:space="0" w:color="000000"/>
              <w:bottom w:val="single" w:sz="4" w:space="0" w:color="000000"/>
            </w:tcBorders>
          </w:tcPr>
          <w:p>
            <w:pPr>
              <w:pStyle w:val="TableParagraph"/>
              <w:spacing w:before="57"/>
              <w:ind w:left="882"/>
              <w:rPr>
                <w:sz w:val="17"/>
              </w:rPr>
            </w:pPr>
            <w:r>
              <w:rPr>
                <w:sz w:val="17"/>
              </w:rPr>
              <w:t>Department of Communities, Housing and Digital Economy</w:t>
            </w:r>
          </w:p>
        </w:tc>
      </w:tr>
      <w:tr>
        <w:trPr>
          <w:trHeight w:val="321"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DJAG</w:t>
            </w:r>
          </w:p>
        </w:tc>
        <w:tc>
          <w:tcPr>
            <w:tcW w:w="7081" w:type="dxa"/>
            <w:tcBorders>
              <w:top w:val="single" w:sz="4" w:space="0" w:color="000000"/>
              <w:bottom w:val="single" w:sz="4" w:space="0" w:color="000000"/>
            </w:tcBorders>
          </w:tcPr>
          <w:p>
            <w:pPr>
              <w:pStyle w:val="TableParagraph"/>
              <w:spacing w:before="57"/>
              <w:ind w:left="882"/>
              <w:rPr>
                <w:sz w:val="17"/>
              </w:rPr>
            </w:pPr>
            <w:r>
              <w:rPr>
                <w:sz w:val="17"/>
              </w:rPr>
              <w:t>Department of Justice and Attorney-General</w:t>
            </w:r>
          </w:p>
        </w:tc>
      </w:tr>
      <w:tr>
        <w:trPr>
          <w:trHeight w:val="527"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DSDSATSIP</w:t>
            </w:r>
          </w:p>
        </w:tc>
        <w:tc>
          <w:tcPr>
            <w:tcW w:w="7081" w:type="dxa"/>
            <w:tcBorders>
              <w:top w:val="single" w:sz="4" w:space="0" w:color="000000"/>
              <w:bottom w:val="single" w:sz="4" w:space="0" w:color="000000"/>
            </w:tcBorders>
          </w:tcPr>
          <w:p>
            <w:pPr>
              <w:pStyle w:val="TableParagraph"/>
              <w:spacing w:before="57"/>
              <w:ind w:left="882" w:right="294"/>
              <w:rPr>
                <w:sz w:val="17"/>
              </w:rPr>
            </w:pPr>
            <w:r>
              <w:rPr>
                <w:sz w:val="17"/>
              </w:rPr>
              <w:t>Department of Seniors, Disability Services and Aboriginal and Torres Strait Islander Partnerships</w:t>
            </w:r>
          </w:p>
        </w:tc>
      </w:tr>
      <w:tr>
        <w:trPr>
          <w:trHeight w:val="318"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FWS</w:t>
            </w:r>
          </w:p>
        </w:tc>
        <w:tc>
          <w:tcPr>
            <w:tcW w:w="7081" w:type="dxa"/>
            <w:tcBorders>
              <w:top w:val="single" w:sz="4" w:space="0" w:color="000000"/>
              <w:bottom w:val="single" w:sz="4" w:space="0" w:color="000000"/>
            </w:tcBorders>
          </w:tcPr>
          <w:p>
            <w:pPr>
              <w:pStyle w:val="TableParagraph"/>
              <w:spacing w:before="57"/>
              <w:ind w:left="882"/>
              <w:rPr>
                <w:sz w:val="17"/>
              </w:rPr>
            </w:pPr>
            <w:r>
              <w:rPr>
                <w:sz w:val="17"/>
              </w:rPr>
              <w:t>Aboriginal and Torres Strait Islander Family Wellbeing Services</w:t>
            </w:r>
          </w:p>
        </w:tc>
      </w:tr>
      <w:tr>
        <w:trPr>
          <w:trHeight w:val="321"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LTC</w:t>
            </w:r>
          </w:p>
        </w:tc>
        <w:tc>
          <w:tcPr>
            <w:tcW w:w="7081" w:type="dxa"/>
            <w:tcBorders>
              <w:top w:val="single" w:sz="4" w:space="0" w:color="000000"/>
              <w:bottom w:val="single" w:sz="4" w:space="0" w:color="000000"/>
            </w:tcBorders>
          </w:tcPr>
          <w:p>
            <w:pPr>
              <w:pStyle w:val="TableParagraph"/>
              <w:spacing w:before="57"/>
              <w:ind w:left="882"/>
              <w:rPr>
                <w:sz w:val="17"/>
              </w:rPr>
            </w:pPr>
            <w:r>
              <w:rPr>
                <w:sz w:val="17"/>
              </w:rPr>
              <w:t>Local Thriving Communities</w:t>
            </w:r>
          </w:p>
        </w:tc>
      </w:tr>
      <w:tr>
        <w:trPr>
          <w:trHeight w:val="321"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NCC</w:t>
            </w:r>
          </w:p>
        </w:tc>
        <w:tc>
          <w:tcPr>
            <w:tcW w:w="7081" w:type="dxa"/>
            <w:tcBorders>
              <w:top w:val="single" w:sz="4" w:space="0" w:color="000000"/>
              <w:bottom w:val="single" w:sz="4" w:space="0" w:color="000000"/>
            </w:tcBorders>
          </w:tcPr>
          <w:p>
            <w:pPr>
              <w:pStyle w:val="TableParagraph"/>
              <w:spacing w:before="57"/>
              <w:ind w:left="882"/>
              <w:rPr>
                <w:sz w:val="17"/>
              </w:rPr>
            </w:pPr>
            <w:r>
              <w:rPr>
                <w:sz w:val="17"/>
              </w:rPr>
              <w:t>National Children’s Commissioner</w:t>
            </w:r>
          </w:p>
        </w:tc>
      </w:tr>
      <w:tr>
        <w:trPr>
          <w:trHeight w:val="321"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NIAA</w:t>
            </w:r>
          </w:p>
        </w:tc>
        <w:tc>
          <w:tcPr>
            <w:tcW w:w="7081" w:type="dxa"/>
            <w:tcBorders>
              <w:top w:val="single" w:sz="4" w:space="0" w:color="000000"/>
              <w:bottom w:val="single" w:sz="4" w:space="0" w:color="000000"/>
            </w:tcBorders>
          </w:tcPr>
          <w:p>
            <w:pPr>
              <w:pStyle w:val="TableParagraph"/>
              <w:spacing w:before="57"/>
              <w:ind w:left="882"/>
              <w:rPr>
                <w:sz w:val="17"/>
              </w:rPr>
            </w:pPr>
            <w:r>
              <w:rPr>
                <w:sz w:val="17"/>
              </w:rPr>
              <w:t>National Indigenous Australians Agency</w:t>
            </w:r>
          </w:p>
        </w:tc>
      </w:tr>
      <w:tr>
        <w:trPr>
          <w:trHeight w:val="318"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QATSICPP</w:t>
            </w:r>
          </w:p>
        </w:tc>
        <w:tc>
          <w:tcPr>
            <w:tcW w:w="7081" w:type="dxa"/>
            <w:tcBorders>
              <w:top w:val="single" w:sz="4" w:space="0" w:color="000000"/>
              <w:bottom w:val="single" w:sz="4" w:space="0" w:color="000000"/>
            </w:tcBorders>
          </w:tcPr>
          <w:p>
            <w:pPr>
              <w:pStyle w:val="TableParagraph"/>
              <w:spacing w:before="57"/>
              <w:ind w:left="882"/>
              <w:rPr>
                <w:sz w:val="17"/>
              </w:rPr>
            </w:pPr>
            <w:r>
              <w:rPr>
                <w:sz w:val="17"/>
              </w:rPr>
              <w:t>Queensland Aboriginal and Torres Strait Islander Child Protection Peak</w:t>
            </w:r>
          </w:p>
        </w:tc>
      </w:tr>
      <w:tr>
        <w:trPr>
          <w:trHeight w:val="321"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QFCFB</w:t>
            </w:r>
          </w:p>
        </w:tc>
        <w:tc>
          <w:tcPr>
            <w:tcW w:w="7081" w:type="dxa"/>
            <w:tcBorders>
              <w:top w:val="single" w:sz="4" w:space="0" w:color="000000"/>
              <w:bottom w:val="single" w:sz="4" w:space="0" w:color="000000"/>
            </w:tcBorders>
          </w:tcPr>
          <w:p>
            <w:pPr>
              <w:pStyle w:val="TableParagraph"/>
              <w:spacing w:before="57"/>
              <w:ind w:left="882"/>
              <w:rPr>
                <w:sz w:val="17"/>
              </w:rPr>
            </w:pPr>
            <w:r>
              <w:rPr>
                <w:sz w:val="17"/>
              </w:rPr>
              <w:t>Queensland First Children and Families Board</w:t>
            </w:r>
          </w:p>
        </w:tc>
      </w:tr>
      <w:tr>
        <w:trPr>
          <w:trHeight w:val="321"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QH</w:t>
            </w:r>
          </w:p>
        </w:tc>
        <w:tc>
          <w:tcPr>
            <w:tcW w:w="7081" w:type="dxa"/>
            <w:tcBorders>
              <w:top w:val="single" w:sz="4" w:space="0" w:color="000000"/>
              <w:bottom w:val="single" w:sz="4" w:space="0" w:color="000000"/>
            </w:tcBorders>
          </w:tcPr>
          <w:p>
            <w:pPr>
              <w:pStyle w:val="TableParagraph"/>
              <w:spacing w:before="57"/>
              <w:ind w:left="882"/>
              <w:rPr>
                <w:sz w:val="17"/>
              </w:rPr>
            </w:pPr>
            <w:r>
              <w:rPr>
                <w:sz w:val="17"/>
              </w:rPr>
              <w:t>Queensland Health</w:t>
            </w:r>
          </w:p>
        </w:tc>
      </w:tr>
      <w:tr>
        <w:trPr>
          <w:trHeight w:val="321" w:hRule="atLeast"/>
        </w:trPr>
        <w:tc>
          <w:tcPr>
            <w:tcW w:w="1962" w:type="dxa"/>
            <w:tcBorders>
              <w:top w:val="single" w:sz="4" w:space="0" w:color="000000"/>
              <w:bottom w:val="single" w:sz="4" w:space="0" w:color="000000"/>
            </w:tcBorders>
          </w:tcPr>
          <w:p>
            <w:pPr>
              <w:pStyle w:val="TableParagraph"/>
              <w:spacing w:before="57"/>
              <w:ind w:left="71"/>
              <w:rPr>
                <w:sz w:val="17"/>
              </w:rPr>
            </w:pPr>
            <w:r>
              <w:rPr>
                <w:sz w:val="17"/>
              </w:rPr>
              <w:t>WOF</w:t>
            </w:r>
          </w:p>
        </w:tc>
        <w:tc>
          <w:tcPr>
            <w:tcW w:w="7081" w:type="dxa"/>
            <w:tcBorders>
              <w:top w:val="single" w:sz="4" w:space="0" w:color="000000"/>
              <w:bottom w:val="single" w:sz="4" w:space="0" w:color="000000"/>
            </w:tcBorders>
          </w:tcPr>
          <w:p>
            <w:pPr>
              <w:pStyle w:val="TableParagraph"/>
              <w:spacing w:before="57"/>
              <w:ind w:left="882"/>
              <w:rPr>
                <w:sz w:val="17"/>
              </w:rPr>
            </w:pPr>
            <w:r>
              <w:rPr>
                <w:sz w:val="17"/>
              </w:rPr>
              <w:t>Wellbeing Outcomes Framework</w:t>
            </w:r>
          </w:p>
        </w:tc>
      </w:tr>
    </w:tbl>
    <w:p>
      <w:pPr>
        <w:spacing w:after="0"/>
        <w:rPr>
          <w:sz w:val="17"/>
        </w:rPr>
        <w:sectPr>
          <w:pgSz w:w="11910" w:h="16840"/>
          <w:pgMar w:header="650" w:footer="420" w:top="840" w:bottom="620" w:left="740" w:right="720"/>
        </w:sectPr>
      </w:pPr>
    </w:p>
    <w:p>
      <w:pPr>
        <w:pStyle w:val="BodyText"/>
        <w:rPr>
          <w:sz w:val="20"/>
        </w:rPr>
      </w:pPr>
      <w:r>
        <w:rPr/>
        <w:pict>
          <v:rect style="position:absolute;margin-left:59.799999pt;margin-top:66.599983pt;width:482.75pt;height:702.3pt;mso-position-horizontal-relative:page;mso-position-vertical-relative:page;z-index:-258258944" filled="false" stroked="true" strokeweight="1.5pt" strokecolor="#61b5e4">
            <v:stroke dashstyle="solid"/>
            <w10:wrap type="none"/>
          </v:rect>
        </w:pict>
      </w:r>
    </w:p>
    <w:p>
      <w:pPr>
        <w:pStyle w:val="BodyText"/>
        <w:spacing w:before="5"/>
        <w:rPr>
          <w:sz w:val="20"/>
        </w:rPr>
      </w:pPr>
    </w:p>
    <w:p>
      <w:pPr>
        <w:pStyle w:val="Heading1"/>
      </w:pPr>
      <w:bookmarkStart w:name="_bookmark4" w:id="5"/>
      <w:bookmarkEnd w:id="5"/>
      <w:r>
        <w:rPr/>
      </w:r>
      <w:r>
        <w:rPr/>
        <w:t>Final report snapshot</w:t>
      </w:r>
    </w:p>
    <w:p>
      <w:pPr>
        <w:spacing w:line="264" w:lineRule="auto" w:before="499"/>
        <w:ind w:left="700" w:right="738" w:firstLine="0"/>
        <w:jc w:val="left"/>
        <w:rPr>
          <w:i/>
          <w:sz w:val="18"/>
        </w:rPr>
      </w:pPr>
      <w:r>
        <w:rPr>
          <w:sz w:val="18"/>
        </w:rPr>
        <w:t>The Queensland Government and Family Matters Queensland are continuing to work in partnership with communities and key stakeholders to implement </w:t>
      </w:r>
      <w:hyperlink r:id="rId33">
        <w:r>
          <w:rPr>
            <w:i/>
            <w:color w:val="00A2DF"/>
            <w:sz w:val="18"/>
            <w:u w:val="single" w:color="00A2DF"/>
          </w:rPr>
          <w:t>Our Way </w:t>
        </w:r>
        <w:r>
          <w:rPr>
            <w:color w:val="00A2DF"/>
            <w:sz w:val="18"/>
            <w:u w:val="single" w:color="00A2DF"/>
          </w:rPr>
          <w:t>and </w:t>
        </w:r>
        <w:r>
          <w:rPr>
            <w:i/>
            <w:color w:val="00A2DF"/>
            <w:sz w:val="18"/>
            <w:u w:val="single" w:color="00A2DF"/>
          </w:rPr>
          <w:t>Changing Tracks: an action</w:t>
        </w:r>
      </w:hyperlink>
      <w:r>
        <w:rPr>
          <w:i/>
          <w:color w:val="00A2DF"/>
          <w:sz w:val="18"/>
        </w:rPr>
        <w:t> </w:t>
      </w:r>
      <w:hyperlink r:id="rId33">
        <w:r>
          <w:rPr>
            <w:i/>
            <w:color w:val="00A2DF"/>
            <w:sz w:val="18"/>
            <w:u w:val="single" w:color="00A2DF"/>
          </w:rPr>
          <w:t>plan for Aboriginal and Torres Strait Islander children and families 2017–2022</w:t>
        </w:r>
      </w:hyperlink>
      <w:r>
        <w:rPr>
          <w:sz w:val="18"/>
        </w:rPr>
        <w:t>. </w:t>
      </w:r>
      <w:r>
        <w:rPr>
          <w:i/>
          <w:sz w:val="18"/>
        </w:rPr>
        <w:t>Our Way </w:t>
      </w:r>
      <w:r>
        <w:rPr>
          <w:sz w:val="18"/>
        </w:rPr>
        <w:t>is in its fifth year of implementation. Two of the seven action plans have been implemented. This final report provides findings and recommendations related to the strength of the </w:t>
      </w:r>
      <w:r>
        <w:rPr>
          <w:i/>
          <w:sz w:val="18"/>
        </w:rPr>
        <w:t>Our Way </w:t>
      </w:r>
      <w:r>
        <w:rPr>
          <w:sz w:val="18"/>
        </w:rPr>
        <w:t>system and opportunities to strengthen the ongoing implementation of </w:t>
      </w:r>
      <w:r>
        <w:rPr>
          <w:i/>
          <w:sz w:val="18"/>
        </w:rPr>
        <w:t>Our Way.</w:t>
      </w:r>
    </w:p>
    <w:p>
      <w:pPr>
        <w:spacing w:line="264" w:lineRule="auto" w:before="167"/>
        <w:ind w:left="700" w:right="788" w:firstLine="0"/>
        <w:jc w:val="left"/>
        <w:rPr>
          <w:sz w:val="18"/>
        </w:rPr>
      </w:pPr>
      <w:r>
        <w:rPr>
          <w:b/>
          <w:color w:val="61B5E4"/>
          <w:sz w:val="18"/>
        </w:rPr>
        <w:t>There have been notable achievements since </w:t>
      </w:r>
      <w:r>
        <w:rPr>
          <w:b/>
          <w:i/>
          <w:color w:val="61B5E4"/>
          <w:sz w:val="18"/>
        </w:rPr>
        <w:t>Our Way’s </w:t>
      </w:r>
      <w:r>
        <w:rPr>
          <w:b/>
          <w:color w:val="61B5E4"/>
          <w:sz w:val="18"/>
        </w:rPr>
        <w:t>establishment in 2017</w:t>
      </w:r>
      <w:r>
        <w:rPr>
          <w:sz w:val="18"/>
        </w:rPr>
        <w:t>. The </w:t>
      </w:r>
      <w:r>
        <w:rPr>
          <w:i/>
          <w:sz w:val="18"/>
        </w:rPr>
        <w:t>Child </w:t>
      </w:r>
      <w:r>
        <w:rPr>
          <w:i/>
          <w:sz w:val="18"/>
        </w:rPr>
        <w:t>Protection Act 1999 </w:t>
      </w:r>
      <w:r>
        <w:rPr>
          <w:sz w:val="18"/>
        </w:rPr>
        <w:t>has been amended to allow Aboriginal and Torres Strait Islander Community- Controlled Organisations (ACCOs) to make decisions for the child in relation to child protection matters. In partnership with Queensland Aboriginal and Torres Strait Islander Child Protection Peak (QATSICPP), the Department of Children, Youth Justice and Multicultural Affairs (DCYJMA) has commenced planning for the implementation of delegated authority across more areas. There has been continued investment in Aboriginal and Torres Strait Islander Family Wellbeing Services (delivered by ACCOs) to support families to care for their children, with a recent evaluation observing a high level of success in de-escalating risks and addressing family needs. </w:t>
      </w:r>
      <w:r>
        <w:rPr>
          <w:b/>
          <w:color w:val="61B5E4"/>
          <w:sz w:val="18"/>
        </w:rPr>
        <w:t>More government agencies are also embedding community voice in the design of strategies and initiatives which relate to Aboriginal and Torres Strait Islander peoples</w:t>
      </w:r>
      <w:r>
        <w:rPr>
          <w:sz w:val="18"/>
        </w:rPr>
        <w:t>, although there is an opportunity to align different government strategies to </w:t>
      </w:r>
      <w:r>
        <w:rPr>
          <w:i/>
          <w:sz w:val="18"/>
        </w:rPr>
        <w:t>Our Way </w:t>
      </w:r>
      <w:r>
        <w:rPr>
          <w:sz w:val="18"/>
        </w:rPr>
        <w:t>as a whole-of- government strategy.</w:t>
      </w:r>
    </w:p>
    <w:p>
      <w:pPr>
        <w:spacing w:line="264" w:lineRule="auto" w:before="160"/>
        <w:ind w:left="700" w:right="722" w:firstLine="0"/>
        <w:jc w:val="left"/>
        <w:rPr>
          <w:sz w:val="18"/>
        </w:rPr>
      </w:pPr>
      <w:r>
        <w:rPr>
          <w:sz w:val="18"/>
        </w:rPr>
        <w:t>Notwithstanding these positive achievements, </w:t>
      </w:r>
      <w:r>
        <w:rPr>
          <w:b/>
          <w:color w:val="61B5E4"/>
          <w:sz w:val="18"/>
        </w:rPr>
        <w:t>transformative change – as originally conceived during the design of the </w:t>
      </w:r>
      <w:r>
        <w:rPr>
          <w:b/>
          <w:i/>
          <w:color w:val="61B5E4"/>
          <w:sz w:val="18"/>
        </w:rPr>
        <w:t>Our Way </w:t>
      </w:r>
      <w:r>
        <w:rPr>
          <w:b/>
          <w:color w:val="61B5E4"/>
          <w:sz w:val="18"/>
        </w:rPr>
        <w:t>strategy - requires building on what works, as well as rethinking and reshaping what does not</w:t>
      </w:r>
      <w:r>
        <w:rPr>
          <w:sz w:val="18"/>
        </w:rPr>
        <w:t>. The complexity of needs and experiences of Aboriginal and Torres Strait Islander families requires innovation and a system with many levers operating in unison. Since </w:t>
      </w:r>
      <w:r>
        <w:rPr>
          <w:i/>
          <w:sz w:val="18"/>
        </w:rPr>
        <w:t>Our Way’s </w:t>
      </w:r>
      <w:r>
        <w:rPr>
          <w:sz w:val="18"/>
        </w:rPr>
        <w:t>implementation, there is evidence that some system stakeholders have made positive changes to the way they make decisions, undertake strategic planning and implement processes which are aligned with </w:t>
      </w:r>
      <w:r>
        <w:rPr>
          <w:i/>
          <w:sz w:val="18"/>
        </w:rPr>
        <w:t>Our Way’s </w:t>
      </w:r>
      <w:r>
        <w:rPr>
          <w:sz w:val="18"/>
        </w:rPr>
        <w:t>principles. </w:t>
      </w:r>
      <w:r>
        <w:rPr>
          <w:b/>
          <w:color w:val="85BB24"/>
          <w:sz w:val="18"/>
        </w:rPr>
        <w:t>However, these changes have yet to occur at the desired scale and pace to achieve </w:t>
      </w:r>
      <w:r>
        <w:rPr>
          <w:b/>
          <w:i/>
          <w:color w:val="85BB24"/>
          <w:sz w:val="18"/>
        </w:rPr>
        <w:t>Our Way’s </w:t>
      </w:r>
      <w:r>
        <w:rPr>
          <w:b/>
          <w:color w:val="85BB24"/>
          <w:sz w:val="18"/>
        </w:rPr>
        <w:t>objectives</w:t>
      </w:r>
      <w:r>
        <w:rPr>
          <w:sz w:val="18"/>
        </w:rPr>
        <w:t>. Genuine partnerships and co-design are required for the “our” in </w:t>
      </w:r>
      <w:r>
        <w:rPr>
          <w:i/>
          <w:sz w:val="18"/>
        </w:rPr>
        <w:t>Our Way </w:t>
      </w:r>
      <w:r>
        <w:rPr>
          <w:sz w:val="18"/>
        </w:rPr>
        <w:t>to reflect Aboriginal and Torres Strait Islander individuals, families and communities. </w:t>
      </w:r>
      <w:r>
        <w:rPr>
          <w:b/>
          <w:color w:val="85BB24"/>
          <w:sz w:val="18"/>
        </w:rPr>
        <w:t>Not all government agencies consider themselves to be part of the </w:t>
      </w:r>
      <w:r>
        <w:rPr>
          <w:b/>
          <w:i/>
          <w:color w:val="85BB24"/>
          <w:sz w:val="18"/>
        </w:rPr>
        <w:t>Our Way </w:t>
      </w:r>
      <w:r>
        <w:rPr>
          <w:b/>
          <w:color w:val="85BB24"/>
          <w:sz w:val="18"/>
        </w:rPr>
        <w:t>system, which has impacted cross- system collaboration and the desired level of engagement with this strategy</w:t>
      </w:r>
      <w:r>
        <w:rPr>
          <w:sz w:val="18"/>
        </w:rPr>
        <w:t>. At this stage, there is also scope for institutional mechanisms – such as those that relate to funding and governance arrangements – to be recalibrated to support community-led decision</w:t>
      </w:r>
      <w:r>
        <w:rPr>
          <w:spacing w:val="-14"/>
          <w:sz w:val="18"/>
        </w:rPr>
        <w:t> </w:t>
      </w:r>
      <w:r>
        <w:rPr>
          <w:sz w:val="18"/>
        </w:rPr>
        <w:t>making.</w:t>
      </w:r>
    </w:p>
    <w:p>
      <w:pPr>
        <w:spacing w:line="264" w:lineRule="auto" w:before="162"/>
        <w:ind w:left="700" w:right="754" w:firstLine="0"/>
        <w:jc w:val="left"/>
        <w:rPr>
          <w:sz w:val="18"/>
        </w:rPr>
      </w:pPr>
      <w:r>
        <w:rPr>
          <w:sz w:val="18"/>
        </w:rPr>
        <w:t>In the remaining fifteen years of this strategy, </w:t>
      </w:r>
      <w:r>
        <w:rPr>
          <w:b/>
          <w:color w:val="61B5E4"/>
          <w:sz w:val="18"/>
        </w:rPr>
        <w:t>there is an opportunity to consider how different system stakeholders can work together to build on earlier successes</w:t>
      </w:r>
      <w:r>
        <w:rPr>
          <w:sz w:val="18"/>
        </w:rPr>
        <w:t>. Most system stakeholders commend the intent and vision of the strategy. However, there is scope for </w:t>
      </w:r>
      <w:r>
        <w:rPr>
          <w:b/>
          <w:color w:val="85BB24"/>
          <w:sz w:val="18"/>
        </w:rPr>
        <w:t>future </w:t>
      </w:r>
      <w:r>
        <w:rPr>
          <w:b/>
          <w:i/>
          <w:color w:val="85BB24"/>
          <w:sz w:val="18"/>
        </w:rPr>
        <w:t>Our Way </w:t>
      </w:r>
      <w:r>
        <w:rPr>
          <w:b/>
          <w:color w:val="85BB24"/>
          <w:sz w:val="18"/>
        </w:rPr>
        <w:t>actions to be bolder and more transformative</w:t>
      </w:r>
      <w:r>
        <w:rPr>
          <w:sz w:val="18"/>
        </w:rPr>
        <w:t>. This includes placing greater focus on early intervention and prevention so that Aboriginal and Torres Strait Islander children do not enter the child protection system in the first place. All system stakeholders – including central government agencies – </w:t>
      </w:r>
      <w:r>
        <w:rPr>
          <w:b/>
          <w:color w:val="85BB24"/>
          <w:sz w:val="18"/>
        </w:rPr>
        <w:t>need to align their policy, processes and practice with </w:t>
      </w:r>
      <w:r>
        <w:rPr>
          <w:b/>
          <w:i/>
          <w:color w:val="85BB24"/>
          <w:sz w:val="18"/>
        </w:rPr>
        <w:t>Our Way’s </w:t>
      </w:r>
      <w:r>
        <w:rPr>
          <w:b/>
          <w:color w:val="85BB24"/>
          <w:sz w:val="18"/>
        </w:rPr>
        <w:t>Theory of Change and Program Logic Model</w:t>
      </w:r>
      <w:r>
        <w:rPr>
          <w:sz w:val="18"/>
        </w:rPr>
        <w:t>. Government mechanisms have to be re-oriented to elevate Indigenous voice, leadership and governance. There needs to be concerted efforts to call out and eliminate racism which still exists in the system. The community-controlled sector must be provided resources and supports to ensure ACCOs are well positioned to succeed and lead future service delivery for Aboriginal and Torres Strait Islander peoples. These reforms need to be underpinned by robust data collection and performance monitoring processes to measure changes within the system and the life outcomes of Aboriginal and Torres Strait Islander</w:t>
      </w:r>
      <w:r>
        <w:rPr>
          <w:spacing w:val="-24"/>
          <w:sz w:val="18"/>
        </w:rPr>
        <w:t> </w:t>
      </w:r>
      <w:r>
        <w:rPr>
          <w:sz w:val="18"/>
        </w:rPr>
        <w:t>children.</w:t>
      </w:r>
    </w:p>
    <w:p>
      <w:pPr>
        <w:pStyle w:val="Heading4"/>
        <w:spacing w:line="264" w:lineRule="auto" w:before="162"/>
        <w:ind w:left="1024" w:right="1045"/>
        <w:jc w:val="center"/>
        <w:rPr>
          <w:b w:val="0"/>
        </w:rPr>
      </w:pPr>
      <w:r>
        <w:rPr>
          <w:color w:val="61B5E4"/>
        </w:rPr>
        <w:t>The status quo is unacceptable. More should be done so that Aboriginal and Torres Islander children and young people have equal opportunities to thrive and are empowered to have a say on policies and laws which affect them</w:t>
      </w:r>
      <w:r>
        <w:rPr>
          <w:b w:val="0"/>
        </w:rPr>
        <w:t>.</w:t>
      </w:r>
    </w:p>
    <w:p>
      <w:pPr>
        <w:spacing w:after="0" w:line="264" w:lineRule="auto"/>
        <w:jc w:val="center"/>
        <w:sectPr>
          <w:headerReference w:type="default" r:id="rId31"/>
          <w:footerReference w:type="default" r:id="rId32"/>
          <w:pgSz w:w="11910" w:h="16840"/>
          <w:pgMar w:header="650" w:footer="420" w:top="840" w:bottom="620" w:left="740" w:right="720"/>
          <w:pgNumType w:start="4"/>
        </w:sectPr>
      </w:pPr>
    </w:p>
    <w:p>
      <w:pPr>
        <w:pStyle w:val="BodyText"/>
        <w:rPr>
          <w:sz w:val="20"/>
        </w:rPr>
      </w:pPr>
    </w:p>
    <w:p>
      <w:pPr>
        <w:pStyle w:val="BodyText"/>
        <w:spacing w:before="5"/>
        <w:rPr>
          <w:sz w:val="20"/>
        </w:rPr>
      </w:pPr>
    </w:p>
    <w:p>
      <w:pPr>
        <w:pStyle w:val="Heading1"/>
        <w:tabs>
          <w:tab w:pos="1494" w:val="left" w:leader="none"/>
        </w:tabs>
      </w:pPr>
      <w:bookmarkStart w:name="_bookmark5" w:id="6"/>
      <w:bookmarkEnd w:id="6"/>
      <w:r>
        <w:rPr/>
      </w:r>
      <w:r>
        <w:rPr/>
        <w:t>1</w:t>
        <w:tab/>
        <w:t>Executive</w:t>
      </w:r>
      <w:r>
        <w:rPr>
          <w:spacing w:val="-1"/>
        </w:rPr>
        <w:t> </w:t>
      </w:r>
      <w:r>
        <w:rPr/>
        <w:t>summary</w:t>
      </w:r>
    </w:p>
    <w:p>
      <w:pPr>
        <w:spacing w:before="499"/>
        <w:ind w:left="700" w:right="0" w:firstLine="0"/>
        <w:jc w:val="left"/>
        <w:rPr>
          <w:b/>
          <w:sz w:val="18"/>
        </w:rPr>
      </w:pPr>
      <w:r>
        <w:rPr>
          <w:b/>
          <w:color w:val="75787A"/>
          <w:sz w:val="18"/>
        </w:rPr>
        <w:t>Background</w:t>
      </w:r>
    </w:p>
    <w:p>
      <w:pPr>
        <w:spacing w:line="264" w:lineRule="auto" w:before="21"/>
        <w:ind w:left="700" w:right="1019" w:firstLine="0"/>
        <w:jc w:val="left"/>
        <w:rPr>
          <w:sz w:val="18"/>
        </w:rPr>
      </w:pPr>
      <w:r>
        <w:rPr>
          <w:sz w:val="18"/>
        </w:rPr>
        <w:t>The Queensland Government worked in partnership with Family Matters Queensland and community organisations to develop </w:t>
      </w:r>
      <w:r>
        <w:rPr>
          <w:i/>
          <w:sz w:val="18"/>
        </w:rPr>
        <w:t>Our Way: A generational strategy for Aboriginal and Torres </w:t>
      </w:r>
      <w:r>
        <w:rPr>
          <w:i/>
          <w:sz w:val="18"/>
        </w:rPr>
        <w:t>Strait Islander children and families 2017-2037</w:t>
      </w:r>
      <w:r>
        <w:rPr>
          <w:sz w:val="18"/>
        </w:rPr>
        <w:t>. </w:t>
      </w:r>
      <w:r>
        <w:rPr>
          <w:i/>
          <w:sz w:val="18"/>
        </w:rPr>
        <w:t>Our Way </w:t>
      </w:r>
      <w:r>
        <w:rPr>
          <w:sz w:val="18"/>
        </w:rPr>
        <w:t>is a 20-year strategy to address the over-representation of Aboriginal and Torres Strait Islander children and families in the child</w:t>
      </w:r>
    </w:p>
    <w:p>
      <w:pPr>
        <w:pStyle w:val="BodyText"/>
        <w:spacing w:line="264" w:lineRule="auto"/>
        <w:ind w:left="700" w:right="716"/>
      </w:pPr>
      <w:r>
        <w:rPr/>
        <w:t>protection system in Queensland and close the gap in life outcomes for Aboriginal and Torres Strait Islander children and families. </w:t>
      </w:r>
      <w:r>
        <w:rPr>
          <w:i/>
        </w:rPr>
        <w:t>Our Way </w:t>
      </w:r>
      <w:r>
        <w:rPr/>
        <w:t>outlines the vision and aspiration for Aboriginal and Torres Strait Islander young people in Queensland to grow up safely and cared for in family, community, and culture. Across Queensland, </w:t>
      </w:r>
      <w:r>
        <w:rPr>
          <w:i/>
        </w:rPr>
        <w:t>Our Way </w:t>
      </w:r>
      <w:r>
        <w:rPr/>
        <w:t>is being delivered via a whole-of-system and partnership approach with Family Matters Queensland, Queensland First Children and Families Board and Queensland Aboriginal and Torres Strait Islander Child Protection Peak (QATSICPP).</w:t>
      </w:r>
    </w:p>
    <w:p>
      <w:pPr>
        <w:pStyle w:val="BodyText"/>
        <w:spacing w:before="165"/>
        <w:ind w:left="700"/>
      </w:pPr>
      <w:r>
        <w:rPr>
          <w:i/>
        </w:rPr>
        <w:t>Our Way </w:t>
      </w:r>
      <w:r>
        <w:rPr/>
        <w:t>is built on the </w:t>
      </w:r>
      <w:hyperlink r:id="rId34">
        <w:r>
          <w:rPr>
            <w:color w:val="00A2DF"/>
            <w:u w:val="single" w:color="00A2DF"/>
          </w:rPr>
          <w:t>Family Matters Building Blocks</w:t>
        </w:r>
      </w:hyperlink>
      <w:r>
        <w:rPr/>
        <w:t>, to realise its vision:</w:t>
      </w:r>
    </w:p>
    <w:p>
      <w:pPr>
        <w:pStyle w:val="ListParagraph"/>
        <w:numPr>
          <w:ilvl w:val="0"/>
          <w:numId w:val="2"/>
        </w:numPr>
        <w:tabs>
          <w:tab w:pos="1061" w:val="left" w:leader="none"/>
        </w:tabs>
        <w:spacing w:line="264" w:lineRule="auto" w:before="189" w:after="0"/>
        <w:ind w:left="1060" w:right="1004" w:hanging="360"/>
        <w:jc w:val="left"/>
        <w:rPr>
          <w:sz w:val="18"/>
        </w:rPr>
      </w:pPr>
      <w:r>
        <w:rPr>
          <w:sz w:val="18"/>
        </w:rPr>
        <w:t>All families enjoy access to quality, culturally safe universal and targeted services necessary for Aboriginal and Torres Strait Islander children to</w:t>
      </w:r>
      <w:r>
        <w:rPr>
          <w:spacing w:val="-7"/>
          <w:sz w:val="18"/>
        </w:rPr>
        <w:t> </w:t>
      </w:r>
      <w:r>
        <w:rPr>
          <w:sz w:val="18"/>
        </w:rPr>
        <w:t>thrive</w:t>
      </w:r>
    </w:p>
    <w:p>
      <w:pPr>
        <w:pStyle w:val="ListParagraph"/>
        <w:numPr>
          <w:ilvl w:val="0"/>
          <w:numId w:val="2"/>
        </w:numPr>
        <w:tabs>
          <w:tab w:pos="1061" w:val="left" w:leader="none"/>
        </w:tabs>
        <w:spacing w:line="264" w:lineRule="auto" w:before="0" w:after="0"/>
        <w:ind w:left="1060" w:right="825" w:hanging="360"/>
        <w:jc w:val="left"/>
        <w:rPr>
          <w:sz w:val="18"/>
        </w:rPr>
      </w:pPr>
      <w:r>
        <w:rPr>
          <w:sz w:val="18"/>
        </w:rPr>
        <w:t>Aboriginal and Torres Strait Islander peoples and organisations participate in and have control over decisions that affect their</w:t>
      </w:r>
      <w:r>
        <w:rPr>
          <w:spacing w:val="-6"/>
          <w:sz w:val="18"/>
        </w:rPr>
        <w:t> </w:t>
      </w:r>
      <w:r>
        <w:rPr>
          <w:sz w:val="18"/>
        </w:rPr>
        <w:t>children</w:t>
      </w:r>
    </w:p>
    <w:p>
      <w:pPr>
        <w:pStyle w:val="ListParagraph"/>
        <w:numPr>
          <w:ilvl w:val="0"/>
          <w:numId w:val="2"/>
        </w:numPr>
        <w:tabs>
          <w:tab w:pos="1061" w:val="left" w:leader="none"/>
        </w:tabs>
        <w:spacing w:line="217" w:lineRule="exact" w:before="0" w:after="0"/>
        <w:ind w:left="1060" w:right="0" w:hanging="361"/>
        <w:jc w:val="left"/>
        <w:rPr>
          <w:sz w:val="18"/>
        </w:rPr>
      </w:pPr>
      <w:r>
        <w:rPr>
          <w:sz w:val="18"/>
        </w:rPr>
        <w:t>Law, policy and practice in child and family welfare are culturally safe and</w:t>
      </w:r>
      <w:r>
        <w:rPr>
          <w:spacing w:val="-18"/>
          <w:sz w:val="18"/>
        </w:rPr>
        <w:t> </w:t>
      </w:r>
      <w:r>
        <w:rPr>
          <w:sz w:val="18"/>
        </w:rPr>
        <w:t>responsive</w:t>
      </w:r>
    </w:p>
    <w:p>
      <w:pPr>
        <w:pStyle w:val="ListParagraph"/>
        <w:numPr>
          <w:ilvl w:val="0"/>
          <w:numId w:val="2"/>
        </w:numPr>
        <w:tabs>
          <w:tab w:pos="1061" w:val="left" w:leader="none"/>
        </w:tabs>
        <w:spacing w:line="264" w:lineRule="auto" w:before="20" w:after="0"/>
        <w:ind w:left="1060" w:right="798" w:hanging="360"/>
        <w:jc w:val="left"/>
        <w:rPr>
          <w:sz w:val="18"/>
        </w:rPr>
      </w:pPr>
      <w:r>
        <w:rPr>
          <w:sz w:val="18"/>
        </w:rPr>
        <w:t>Governments and community services are accountable to Aboriginal and Torres Strait Islander peoples.</w:t>
      </w:r>
    </w:p>
    <w:p>
      <w:pPr>
        <w:pStyle w:val="BodyText"/>
        <w:spacing w:line="264" w:lineRule="auto" w:before="169"/>
        <w:ind w:left="700" w:right="860"/>
      </w:pPr>
      <w:r>
        <w:rPr>
          <w:i/>
        </w:rPr>
        <w:t>Our Way </w:t>
      </w:r>
      <w:r>
        <w:rPr/>
        <w:t>is being delivered through a series of seven rolling action plans (see </w:t>
      </w:r>
      <w:hyperlink w:history="true" w:anchor="_bookmark6">
        <w:r>
          <w:rPr/>
          <w:t>Table iChart iFigure</w:t>
        </w:r>
      </w:hyperlink>
      <w:r>
        <w:rPr/>
        <w:t> </w:t>
      </w:r>
      <w:hyperlink w:history="true" w:anchor="_bookmark6">
        <w:r>
          <w:rPr/>
          <w:t>i</w:t>
        </w:r>
      </w:hyperlink>
      <w:r>
        <w:rPr/>
        <w:t>). This approach allows for flexibility whereby future action plans can build on the outcomes achieved and challenges identified from prior action plans to create transformational systems change. The action plans span across three phases: </w:t>
      </w:r>
      <w:r>
        <w:rPr>
          <w:i/>
        </w:rPr>
        <w:t>Changing Tracks </w:t>
      </w:r>
      <w:r>
        <w:rPr/>
        <w:t>(2017-2022), </w:t>
      </w:r>
      <w:r>
        <w:rPr>
          <w:i/>
        </w:rPr>
        <w:t>Breaking </w:t>
      </w:r>
      <w:r>
        <w:rPr>
          <w:i/>
        </w:rPr>
        <w:t>Cycles </w:t>
      </w:r>
      <w:r>
        <w:rPr/>
        <w:t>(2023-2031) and </w:t>
      </w:r>
      <w:r>
        <w:rPr>
          <w:i/>
        </w:rPr>
        <w:t>Hitting Targets </w:t>
      </w:r>
      <w:r>
        <w:rPr/>
        <w:t>(2032-2037).</w:t>
      </w:r>
    </w:p>
    <w:p>
      <w:pPr>
        <w:pStyle w:val="BodyText"/>
        <w:spacing w:before="7"/>
        <w:rPr>
          <w:sz w:val="20"/>
        </w:rPr>
      </w:pPr>
    </w:p>
    <w:p>
      <w:pPr>
        <w:spacing w:before="0"/>
        <w:ind w:left="700" w:right="0" w:firstLine="0"/>
        <w:jc w:val="left"/>
        <w:rPr>
          <w:sz w:val="17"/>
        </w:rPr>
      </w:pPr>
      <w:r>
        <w:rPr>
          <w:color w:val="75787A"/>
          <w:sz w:val="17"/>
        </w:rPr>
        <w:t>Figure i</w:t>
      </w:r>
      <w:bookmarkStart w:name="_bookmark6" w:id="7"/>
      <w:bookmarkEnd w:id="7"/>
      <w:r>
        <w:rPr>
          <w:color w:val="75787A"/>
          <w:sz w:val="17"/>
        </w:rPr>
      </w:r>
      <w:r>
        <w:rPr>
          <w:color w:val="75787A"/>
          <w:sz w:val="17"/>
        </w:rPr>
        <w:t> </w:t>
      </w:r>
      <w:r>
        <w:rPr>
          <w:i/>
          <w:color w:val="75787A"/>
          <w:sz w:val="17"/>
        </w:rPr>
        <w:t>Our Way </w:t>
      </w:r>
      <w:r>
        <w:rPr>
          <w:color w:val="75787A"/>
          <w:sz w:val="17"/>
        </w:rPr>
        <w:t>timelines</w:t>
      </w:r>
    </w:p>
    <w:p>
      <w:pPr>
        <w:pStyle w:val="BodyText"/>
        <w:spacing w:before="11"/>
        <w:rPr>
          <w:sz w:val="16"/>
        </w:rPr>
      </w:pPr>
      <w:r>
        <w:rPr/>
        <w:drawing>
          <wp:anchor distT="0" distB="0" distL="0" distR="0" allowOverlap="1" layoutInCell="1" locked="0" behindDoc="0" simplePos="0" relativeHeight="12">
            <wp:simplePos x="0" y="0"/>
            <wp:positionH relativeFrom="page">
              <wp:posOffset>904067</wp:posOffset>
            </wp:positionH>
            <wp:positionV relativeFrom="paragraph">
              <wp:posOffset>155454</wp:posOffset>
            </wp:positionV>
            <wp:extent cx="5801450" cy="2585847"/>
            <wp:effectExtent l="0" t="0" r="0" b="0"/>
            <wp:wrapTopAndBottom/>
            <wp:docPr id="17" name="image22.png"/>
            <wp:cNvGraphicFramePr>
              <a:graphicFrameLocks noChangeAspect="1"/>
            </wp:cNvGraphicFramePr>
            <a:graphic>
              <a:graphicData uri="http://schemas.openxmlformats.org/drawingml/2006/picture">
                <pic:pic>
                  <pic:nvPicPr>
                    <pic:cNvPr id="18" name="image22.png"/>
                    <pic:cNvPicPr/>
                  </pic:nvPicPr>
                  <pic:blipFill>
                    <a:blip r:embed="rId35" cstate="print"/>
                    <a:stretch>
                      <a:fillRect/>
                    </a:stretch>
                  </pic:blipFill>
                  <pic:spPr>
                    <a:xfrm>
                      <a:off x="0" y="0"/>
                      <a:ext cx="5801450" cy="2585847"/>
                    </a:xfrm>
                    <a:prstGeom prst="rect">
                      <a:avLst/>
                    </a:prstGeom>
                  </pic:spPr>
                </pic:pic>
              </a:graphicData>
            </a:graphic>
          </wp:anchor>
        </w:drawing>
      </w:r>
    </w:p>
    <w:p>
      <w:pPr>
        <w:spacing w:before="25"/>
        <w:ind w:left="700" w:right="0" w:firstLine="0"/>
        <w:jc w:val="left"/>
        <w:rPr>
          <w:sz w:val="16"/>
        </w:rPr>
      </w:pPr>
      <w:r>
        <w:rPr>
          <w:color w:val="75787A"/>
          <w:sz w:val="16"/>
        </w:rPr>
        <w:t>Source: Deloitte Access Economics</w:t>
      </w:r>
    </w:p>
    <w:p>
      <w:pPr>
        <w:pStyle w:val="BodyText"/>
        <w:spacing w:before="9"/>
        <w:rPr>
          <w:sz w:val="15"/>
        </w:rPr>
      </w:pPr>
    </w:p>
    <w:p>
      <w:pPr>
        <w:pStyle w:val="BodyText"/>
        <w:spacing w:line="264" w:lineRule="auto"/>
        <w:ind w:left="700" w:right="764"/>
      </w:pPr>
      <w:r>
        <w:rPr>
          <w:i/>
        </w:rPr>
        <w:t>Our Way </w:t>
      </w:r>
      <w:r>
        <w:rPr/>
        <w:t>and its action plans are aligned to the goals of national and state initiatives and strategies. At a national level, </w:t>
      </w:r>
      <w:r>
        <w:rPr>
          <w:i/>
        </w:rPr>
        <w:t>Our Way </w:t>
      </w:r>
      <w:r>
        <w:rPr/>
        <w:t>is aligned to the </w:t>
      </w:r>
      <w:r>
        <w:rPr>
          <w:i/>
        </w:rPr>
        <w:t>National Agreement on Closing the Gap </w:t>
      </w:r>
      <w:r>
        <w:rPr>
          <w:color w:val="202429"/>
        </w:rPr>
        <w:t>The aim </w:t>
      </w:r>
      <w:r>
        <w:rPr/>
        <w:t>of the Closing the Gap is to enable Aboriginal and Torres Strait Islander people and governments to work together to overcome the inequality experienced by Aboriginal and Torres Strait Islander peoples across all life outcomes. Closing the Gap contains a specific child protection</w:t>
      </w:r>
    </w:p>
    <w:p>
      <w:pPr>
        <w:spacing w:after="0" w:line="264" w:lineRule="auto"/>
        <w:sectPr>
          <w:pgSz w:w="11910" w:h="16840"/>
          <w:pgMar w:header="650" w:footer="420" w:top="840" w:bottom="620" w:left="740" w:right="720"/>
        </w:sectPr>
      </w:pPr>
    </w:p>
    <w:p>
      <w:pPr>
        <w:pStyle w:val="BodyText"/>
        <w:rPr>
          <w:sz w:val="20"/>
        </w:rPr>
      </w:pPr>
    </w:p>
    <w:p>
      <w:pPr>
        <w:pStyle w:val="BodyText"/>
        <w:rPr>
          <w:sz w:val="22"/>
        </w:rPr>
      </w:pPr>
    </w:p>
    <w:p>
      <w:pPr>
        <w:spacing w:line="264" w:lineRule="auto" w:before="100"/>
        <w:ind w:left="700" w:right="734" w:firstLine="0"/>
        <w:jc w:val="left"/>
        <w:rPr>
          <w:sz w:val="18"/>
        </w:rPr>
      </w:pPr>
      <w:r>
        <w:rPr>
          <w:sz w:val="18"/>
        </w:rPr>
        <w:t>target to reduce the rate of over-representation of Aboriginal and Torres Strait Islander children in out-of-home care by 45 per cent by 2031. At the state level, the implementation of </w:t>
      </w:r>
      <w:r>
        <w:rPr>
          <w:i/>
          <w:sz w:val="18"/>
        </w:rPr>
        <w:t>Our Way </w:t>
      </w:r>
      <w:r>
        <w:rPr>
          <w:sz w:val="18"/>
        </w:rPr>
        <w:t>and associated action plans builds on work underway through a range of initiatives including the Family Matters Campaign, the Queensland Aboriginal and Torres Strait Islander Healing Strategy, Path to Treaty and</w:t>
      </w:r>
      <w:hyperlink r:id="rId36">
        <w:r>
          <w:rPr>
            <w:color w:val="00A2DF"/>
            <w:sz w:val="18"/>
            <w:u w:val="single" w:color="00A2DF"/>
          </w:rPr>
          <w:t> </w:t>
        </w:r>
        <w:r>
          <w:rPr>
            <w:i/>
            <w:color w:val="00A2DF"/>
            <w:sz w:val="18"/>
            <w:u w:val="single" w:color="00A2DF"/>
          </w:rPr>
          <w:t>Supporting Families Changing Futures: Advancing Queensland’s child protection and</w:t>
        </w:r>
      </w:hyperlink>
      <w:r>
        <w:rPr>
          <w:i/>
          <w:color w:val="00A2DF"/>
          <w:sz w:val="18"/>
        </w:rPr>
        <w:t> </w:t>
      </w:r>
      <w:hyperlink r:id="rId36">
        <w:r>
          <w:rPr>
            <w:i/>
            <w:color w:val="00A2DF"/>
            <w:sz w:val="18"/>
            <w:u w:val="single" w:color="00A2DF"/>
          </w:rPr>
          <w:t>family support reforms</w:t>
        </w:r>
      </w:hyperlink>
      <w:r>
        <w:rPr>
          <w:sz w:val="18"/>
        </w:rPr>
        <w:t>.</w:t>
      </w:r>
    </w:p>
    <w:p>
      <w:pPr>
        <w:pStyle w:val="Heading4"/>
        <w:spacing w:before="167"/>
        <w:ind w:left="700"/>
      </w:pPr>
      <w:r>
        <w:rPr>
          <w:color w:val="75787A"/>
        </w:rPr>
        <w:t>Evaluation approach</w:t>
      </w:r>
    </w:p>
    <w:p>
      <w:pPr>
        <w:pStyle w:val="BodyText"/>
        <w:spacing w:line="264" w:lineRule="auto" w:before="21"/>
        <w:ind w:left="700" w:right="790"/>
      </w:pPr>
      <w:r>
        <w:rPr/>
        <w:t>Deloitte Access Economics, Murawin and the Social Research Centre have been commissioned by the Department of Children, Youth Justice and Multicultural Affairs (DCYJMA) on behalf of strategy partners to evaluate progress made by </w:t>
      </w:r>
      <w:r>
        <w:rPr>
          <w:i/>
        </w:rPr>
        <w:t>Our Way </w:t>
      </w:r>
      <w:r>
        <w:rPr/>
        <w:t>and the </w:t>
      </w:r>
      <w:r>
        <w:rPr>
          <w:i/>
        </w:rPr>
        <w:t>Changing Tracks </w:t>
      </w:r>
      <w:r>
        <w:rPr/>
        <w:t>Action Plans (see </w:t>
      </w:r>
      <w:hyperlink w:history="true" w:anchor="_bookmark6">
        <w:r>
          <w:rPr/>
          <w:t>Figure</w:t>
        </w:r>
      </w:hyperlink>
      <w:r>
        <w:rPr/>
        <w:t> </w:t>
      </w:r>
      <w:hyperlink w:history="true" w:anchor="_bookmark6">
        <w:r>
          <w:rPr/>
          <w:t>i</w:t>
        </w:r>
      </w:hyperlink>
      <w:r>
        <w:rPr/>
        <w:t>). As illustrated in </w:t>
      </w:r>
      <w:hyperlink w:history="true" w:anchor="_bookmark7">
        <w:r>
          <w:rPr/>
          <w:t>Figure ii</w:t>
        </w:r>
      </w:hyperlink>
      <w:r>
        <w:rPr/>
        <w:t>, this evaluation consists of two main phases. In the first phase, the evaluation involved project planning in mid-2020 and two phases of annual progress reporting (2020 and 2021). The second phase of the evaluation is a systems level evaluation led by Deloitte Access Economics and Murawin, which culminates in the delivery of a final evaluation report (this report) in 2022.</w:t>
      </w:r>
    </w:p>
    <w:p>
      <w:pPr>
        <w:pStyle w:val="BodyText"/>
        <w:spacing w:before="5"/>
        <w:rPr>
          <w:sz w:val="20"/>
        </w:rPr>
      </w:pPr>
    </w:p>
    <w:p>
      <w:pPr>
        <w:spacing w:before="0"/>
        <w:ind w:left="700" w:right="0" w:firstLine="0"/>
        <w:jc w:val="left"/>
        <w:rPr>
          <w:sz w:val="17"/>
        </w:rPr>
      </w:pPr>
      <w:r>
        <w:rPr>
          <w:color w:val="75787A"/>
          <w:sz w:val="17"/>
        </w:rPr>
        <w:t>Figure i</w:t>
      </w:r>
      <w:bookmarkStart w:name="_bookmark7" w:id="8"/>
      <w:bookmarkEnd w:id="8"/>
      <w:r>
        <w:rPr>
          <w:color w:val="75787A"/>
          <w:sz w:val="17"/>
        </w:rPr>
        <w:t>i</w:t>
      </w:r>
      <w:r>
        <w:rPr>
          <w:color w:val="75787A"/>
          <w:sz w:val="17"/>
        </w:rPr>
        <w:t> Overview of evaluation timelines</w:t>
      </w:r>
    </w:p>
    <w:p>
      <w:pPr>
        <w:pStyle w:val="BodyText"/>
        <w:spacing w:before="6"/>
        <w:rPr>
          <w:sz w:val="16"/>
        </w:rPr>
      </w:pPr>
      <w:r>
        <w:rPr/>
        <w:pict>
          <v:group style="position:absolute;margin-left:72.054985pt;margin-top:12.002045pt;width:444.7pt;height:201.35pt;mso-position-horizontal-relative:page;mso-position-vertical-relative:paragraph;z-index:-251633664;mso-wrap-distance-left:0;mso-wrap-distance-right:0" coordorigin="1441,240" coordsize="8894,4027">
            <v:line style="position:absolute" from="1442,2418" to="9841,2418" stroked="true" strokeweight=".967912pt" strokecolor="#bebebe">
              <v:stroke dashstyle="solid"/>
            </v:line>
            <v:shape style="position:absolute;left:4361;top:2033;width:771;height:769" coordorigin="4362,2034" coordsize="771,769" path="m4747,2034l4669,2041,4597,2064,4531,2099,4474,2146,4427,2203,4392,2268,4369,2340,4362,2418,4369,2495,4392,2567,4427,2632,4474,2689,4531,2736,4597,2772,4669,2794,4747,2802,4824,2794,4896,2772,4962,2736,5019,2689,5066,2632,5101,2567,5124,2495,5132,2418,5124,2340,5101,2268,5066,2203,5019,2146,4962,2099,4896,2064,4824,2041,4747,2034xe" filled="true" fillcolor="#6fac46" stroked="false">
              <v:path arrowok="t"/>
              <v:fill type="solid"/>
            </v:shape>
            <v:shape style="position:absolute;left:7280;top:2033;width:771;height:769" coordorigin="7280,2034" coordsize="771,769" path="m7666,2034l7588,2041,7516,2064,7450,2099,7393,2146,7346,2203,7311,2268,7288,2340,7280,2418,7288,2495,7311,2567,7346,2632,7393,2689,7450,2736,7516,2772,7588,2794,7666,2802,7743,2794,7815,2772,7881,2736,7938,2689,7985,2632,8020,2567,8043,2495,8051,2418,8043,2340,8020,2268,7985,2203,7938,2146,7881,2099,7815,2064,7743,2041,7666,2034xe" filled="true" fillcolor="#5b9bd4" stroked="false">
              <v:path arrowok="t"/>
              <v:fill type="solid"/>
            </v:shape>
            <v:rect style="position:absolute;left:2967;top:2234;width:20;height:20" filled="true" fillcolor="#bebebe" stroked="false">
              <v:fill type="solid"/>
            </v:rect>
            <v:rect style="position:absolute;left:2967;top:2195;width:20;height:20" filled="true" fillcolor="#bebebe" stroked="false">
              <v:fill type="solid"/>
            </v:rect>
            <v:rect style="position:absolute;left:2967;top:2156;width:20;height:20" filled="true" fillcolor="#bebebe" stroked="false">
              <v:fill type="solid"/>
            </v:rect>
            <v:rect style="position:absolute;left:2967;top:2118;width:20;height:20" filled="true" fillcolor="#bebebe" stroked="false">
              <v:fill type="solid"/>
            </v:rect>
            <v:rect style="position:absolute;left:2967;top:2079;width:20;height:20" filled="true" fillcolor="#bebebe" stroked="false">
              <v:fill type="solid"/>
            </v:rect>
            <v:rect style="position:absolute;left:2967;top:2040;width:20;height:20" filled="true" fillcolor="#bebebe" stroked="false">
              <v:fill type="solid"/>
            </v:rect>
            <v:rect style="position:absolute;left:2967;top:2001;width:20;height:20" filled="true" fillcolor="#bebebe" stroked="false">
              <v:fill type="solid"/>
            </v:rect>
            <v:rect style="position:absolute;left:2967;top:1963;width:20;height:20" filled="true" fillcolor="#bebebe" stroked="false">
              <v:fill type="solid"/>
            </v:rect>
            <v:rect style="position:absolute;left:2967;top:1924;width:20;height:20" filled="true" fillcolor="#bebebe" stroked="false">
              <v:fill type="solid"/>
            </v:rect>
            <v:rect style="position:absolute;left:2967;top:1885;width:20;height:20" filled="true" fillcolor="#bebebe" stroked="false">
              <v:fill type="solid"/>
            </v:rect>
            <v:rect style="position:absolute;left:2967;top:1847;width:20;height:20" filled="true" fillcolor="#bebebe" stroked="false">
              <v:fill type="solid"/>
            </v:rect>
            <v:rect style="position:absolute;left:2967;top:1808;width:20;height:20" filled="true" fillcolor="#bebebe" stroked="false">
              <v:fill type="solid"/>
            </v:rect>
            <v:rect style="position:absolute;left:2967;top:1769;width:20;height:20" filled="true" fillcolor="#bebebe" stroked="false">
              <v:fill type="solid"/>
            </v:rect>
            <v:rect style="position:absolute;left:2967;top:1730;width:20;height:20" filled="true" fillcolor="#bebebe" stroked="false">
              <v:fill type="solid"/>
            </v:rect>
            <v:rect style="position:absolute;left:2967;top:1692;width:20;height:20" filled="true" fillcolor="#bebebe" stroked="false">
              <v:fill type="solid"/>
            </v:rect>
            <v:rect style="position:absolute;left:2967;top:1653;width:20;height:20" filled="true" fillcolor="#bebebe" stroked="false">
              <v:fill type="solid"/>
            </v:rect>
            <v:rect style="position:absolute;left:2967;top:1614;width:20;height:20" filled="true" fillcolor="#bebebe" stroked="false">
              <v:fill type="solid"/>
            </v:rect>
            <v:rect style="position:absolute;left:2967;top:1576;width:20;height:20" filled="true" fillcolor="#bebebe" stroked="false">
              <v:fill type="solid"/>
            </v:rect>
            <v:rect style="position:absolute;left:2967;top:1537;width:20;height:20" filled="true" fillcolor="#bebebe" stroked="false">
              <v:fill type="solid"/>
            </v:rect>
            <v:rect style="position:absolute;left:2967;top:1498;width:20;height:20" filled="true" fillcolor="#bebebe" stroked="false">
              <v:fill type="solid"/>
            </v:rect>
            <v:rect style="position:absolute;left:2967;top:1459;width:20;height:20" filled="true" fillcolor="#bebebe" stroked="false">
              <v:fill type="solid"/>
            </v:rect>
            <v:rect style="position:absolute;left:2967;top:1421;width:20;height:20" filled="true" fillcolor="#bebebe" stroked="false">
              <v:fill type="solid"/>
            </v:rect>
            <v:rect style="position:absolute;left:2967;top:1382;width:20;height:20" filled="true" fillcolor="#bebebe" stroked="false">
              <v:fill type="solid"/>
            </v:rect>
            <v:rect style="position:absolute;left:2967;top:1343;width:20;height:20" filled="true" fillcolor="#bebebe" stroked="false">
              <v:fill type="solid"/>
            </v:rect>
            <v:rect style="position:absolute;left:2967;top:1305;width:20;height:20" filled="true" fillcolor="#bebebe" stroked="false">
              <v:fill type="solid"/>
            </v:rect>
            <v:rect style="position:absolute;left:2967;top:1266;width:20;height:20" filled="true" fillcolor="#bebebe" stroked="false">
              <v:fill type="solid"/>
            </v:rect>
            <v:rect style="position:absolute;left:2967;top:1227;width:20;height:20" filled="true" fillcolor="#bebebe" stroked="false">
              <v:fill type="solid"/>
            </v:rect>
            <v:rect style="position:absolute;left:2967;top:1188;width:20;height:20" filled="true" fillcolor="#bebebe" stroked="false">
              <v:fill type="solid"/>
            </v:rect>
            <v:rect style="position:absolute;left:2967;top:1150;width:20;height:20" filled="true" fillcolor="#bebebe" stroked="false">
              <v:fill type="solid"/>
            </v:rect>
            <v:rect style="position:absolute;left:2967;top:1111;width:20;height:20" filled="true" fillcolor="#bebebe" stroked="false">
              <v:fill type="solid"/>
            </v:rect>
            <v:rect style="position:absolute;left:2967;top:1072;width:20;height:20" filled="true" fillcolor="#bebebe" stroked="false">
              <v:fill type="solid"/>
            </v:rect>
            <v:rect style="position:absolute;left:2967;top:1034;width:20;height:20" filled="true" fillcolor="#bebebe" stroked="false">
              <v:fill type="solid"/>
            </v:rect>
            <v:rect style="position:absolute;left:2967;top:995;width:20;height:20" filled="true" fillcolor="#bebebe" stroked="false">
              <v:fill type="solid"/>
            </v:rect>
            <v:rect style="position:absolute;left:2967;top:956;width:20;height:20" filled="true" fillcolor="#bebebe" stroked="false">
              <v:fill type="solid"/>
            </v:rect>
            <v:rect style="position:absolute;left:2967;top:917;width:20;height:20" filled="true" fillcolor="#bebebe" stroked="false">
              <v:fill type="solid"/>
            </v:rect>
            <v:shape style="position:absolute;left:2812;top:2253;width:331;height:329" coordorigin="2812,2253" coordsize="331,329" path="m2977,2253l2913,2266,2860,2302,2825,2354,2812,2418,2825,2482,2860,2534,2913,2569,2977,2582,3042,2569,3094,2534,3130,2482,3143,2418,3130,2354,3094,2302,3042,2266,2977,2253xe" filled="true" fillcolor="#6fac46" stroked="false">
              <v:path arrowok="t"/>
              <v:fill type="solid"/>
            </v:shape>
            <v:shape style="position:absolute;left:3193;top:2253;width:330;height:329" coordorigin="3194,2253" coordsize="330,329" path="m3359,2253l3295,2266,3242,2302,3207,2354,3194,2418,3207,2482,3242,2534,3295,2569,3359,2582,3423,2569,3475,2534,3510,2482,3523,2418,3510,2354,3475,2302,3423,2266,3359,2253xe" filled="true" fillcolor="#6fac46" stroked="false">
              <v:path arrowok="t"/>
              <v:fill type="solid"/>
            </v:shape>
            <v:shape style="position:absolute;left:3815;top:2253;width:330;height:329" coordorigin="3815,2253" coordsize="330,329" path="m3980,2253l3916,2266,3863,2302,3828,2354,3815,2418,3828,2482,3863,2534,3916,2569,3980,2582,4044,2569,4096,2534,4131,2482,4144,2418,4131,2354,4096,2302,4044,2266,3980,2253xe" filled="true" fillcolor="#6fac46" stroked="false">
              <v:path arrowok="t"/>
              <v:fill type="solid"/>
            </v:shape>
            <v:shape style="position:absolute;left:6206;top:2253;width:331;height:329" coordorigin="6206,2253" coordsize="331,329" path="m6371,2253l6307,2266,6255,2302,6219,2354,6206,2418,6219,2482,6255,2534,6307,2569,6371,2582,6436,2569,6488,2534,6524,2482,6537,2418,6524,2354,6488,2302,6436,2266,6371,2253xe" filled="true" fillcolor="#6fac46" stroked="false">
              <v:path arrowok="t"/>
              <v:fill type="solid"/>
            </v:shape>
            <v:shape style="position:absolute;left:6869;top:2253;width:330;height:329" coordorigin="6869,2253" coordsize="330,329" path="m7034,2253l6970,2266,6917,2302,6882,2354,6869,2418,6882,2482,6917,2534,6970,2569,7034,2582,7098,2569,7150,2534,7185,2482,7198,2418,7185,2354,7150,2302,7098,2266,7034,2253xe" filled="true" fillcolor="#6fac46" stroked="false">
              <v:path arrowok="t"/>
              <v:fill type="solid"/>
            </v:shape>
            <v:shape style="position:absolute;left:9052;top:2253;width:331;height:329" coordorigin="9052,2253" coordsize="331,329" path="m9217,2253l9153,2266,9101,2302,9065,2354,9052,2418,9065,2482,9101,2534,9153,2569,9217,2582,9282,2569,9334,2534,9370,2482,9383,2418,9370,2354,9334,2302,9282,2266,9217,2253xe" filled="true" fillcolor="#5b9bd4" stroked="false">
              <v:path arrowok="t"/>
              <v:fill type="solid"/>
            </v:shape>
            <v:rect style="position:absolute;left:3349;top:3906;width:20;height:20" filled="true" fillcolor="#bebebe" stroked="false">
              <v:fill type="solid"/>
            </v:rect>
            <v:rect style="position:absolute;left:3349;top:3868;width:20;height:20" filled="true" fillcolor="#bebebe" stroked="false">
              <v:fill type="solid"/>
            </v:rect>
            <v:rect style="position:absolute;left:3349;top:3829;width:20;height:20" filled="true" fillcolor="#bebebe" stroked="false">
              <v:fill type="solid"/>
            </v:rect>
            <v:rect style="position:absolute;left:3349;top:3790;width:20;height:20" filled="true" fillcolor="#bebebe" stroked="false">
              <v:fill type="solid"/>
            </v:rect>
            <v:rect style="position:absolute;left:3349;top:3751;width:20;height:20" filled="true" fillcolor="#bebebe" stroked="false">
              <v:fill type="solid"/>
            </v:rect>
            <v:rect style="position:absolute;left:3349;top:3713;width:20;height:20" filled="true" fillcolor="#bebebe" stroked="false">
              <v:fill type="solid"/>
            </v:rect>
            <v:rect style="position:absolute;left:3349;top:3674;width:20;height:20" filled="true" fillcolor="#bebebe" stroked="false">
              <v:fill type="solid"/>
            </v:rect>
            <v:rect style="position:absolute;left:3349;top:3635;width:20;height:20" filled="true" fillcolor="#bebebe" stroked="false">
              <v:fill type="solid"/>
            </v:rect>
            <v:rect style="position:absolute;left:3349;top:3597;width:20;height:20" filled="true" fillcolor="#bebebe" stroked="false">
              <v:fill type="solid"/>
            </v:rect>
            <v:rect style="position:absolute;left:3349;top:3558;width:20;height:20" filled="true" fillcolor="#bebebe" stroked="false">
              <v:fill type="solid"/>
            </v:rect>
            <v:rect style="position:absolute;left:3349;top:3519;width:20;height:20" filled="true" fillcolor="#bebebe" stroked="false">
              <v:fill type="solid"/>
            </v:rect>
            <v:rect style="position:absolute;left:3349;top:3480;width:20;height:20" filled="true" fillcolor="#bebebe" stroked="false">
              <v:fill type="solid"/>
            </v:rect>
            <v:rect style="position:absolute;left:3349;top:3442;width:20;height:20" filled="true" fillcolor="#bebebe" stroked="false">
              <v:fill type="solid"/>
            </v:rect>
            <v:rect style="position:absolute;left:3349;top:3403;width:20;height:20" filled="true" fillcolor="#bebebe" stroked="false">
              <v:fill type="solid"/>
            </v:rect>
            <v:rect style="position:absolute;left:3349;top:3364;width:20;height:20" filled="true" fillcolor="#bebebe" stroked="false">
              <v:fill type="solid"/>
            </v:rect>
            <v:rect style="position:absolute;left:3349;top:3326;width:20;height:20" filled="true" fillcolor="#bebebe" stroked="false">
              <v:fill type="solid"/>
            </v:rect>
            <v:rect style="position:absolute;left:3349;top:3287;width:20;height:20" filled="true" fillcolor="#bebebe" stroked="false">
              <v:fill type="solid"/>
            </v:rect>
            <v:rect style="position:absolute;left:3349;top:3248;width:20;height:20" filled="true" fillcolor="#bebebe" stroked="false">
              <v:fill type="solid"/>
            </v:rect>
            <v:rect style="position:absolute;left:3349;top:3209;width:20;height:20" filled="true" fillcolor="#bebebe" stroked="false">
              <v:fill type="solid"/>
            </v:rect>
            <v:rect style="position:absolute;left:3349;top:3171;width:20;height:20" filled="true" fillcolor="#bebebe" stroked="false">
              <v:fill type="solid"/>
            </v:rect>
            <v:rect style="position:absolute;left:3349;top:3132;width:20;height:20" filled="true" fillcolor="#bebebe" stroked="false">
              <v:fill type="solid"/>
            </v:rect>
            <v:rect style="position:absolute;left:3349;top:3093;width:20;height:20" filled="true" fillcolor="#bebebe" stroked="false">
              <v:fill type="solid"/>
            </v:rect>
            <v:rect style="position:absolute;left:3349;top:3055;width:20;height:20" filled="true" fillcolor="#bebebe" stroked="false">
              <v:fill type="solid"/>
            </v:rect>
            <v:rect style="position:absolute;left:3349;top:3016;width:20;height:20" filled="true" fillcolor="#bebebe" stroked="false">
              <v:fill type="solid"/>
            </v:rect>
            <v:rect style="position:absolute;left:3349;top:2977;width:20;height:20" filled="true" fillcolor="#bebebe" stroked="false">
              <v:fill type="solid"/>
            </v:rect>
            <v:rect style="position:absolute;left:3349;top:2938;width:20;height:20" filled="true" fillcolor="#bebebe" stroked="false">
              <v:fill type="solid"/>
            </v:rect>
            <v:rect style="position:absolute;left:3349;top:2900;width:20;height:20" filled="true" fillcolor="#bebebe" stroked="false">
              <v:fill type="solid"/>
            </v:rect>
            <v:rect style="position:absolute;left:3349;top:2861;width:20;height:20" filled="true" fillcolor="#bebebe" stroked="false">
              <v:fill type="solid"/>
            </v:rect>
            <v:rect style="position:absolute;left:3349;top:2822;width:20;height:20" filled="true" fillcolor="#bebebe" stroked="false">
              <v:fill type="solid"/>
            </v:rect>
            <v:rect style="position:absolute;left:3349;top:2784;width:20;height:20" filled="true" fillcolor="#bebebe" stroked="false">
              <v:fill type="solid"/>
            </v:rect>
            <v:rect style="position:absolute;left:3349;top:2745;width:20;height:20" filled="true" fillcolor="#bebebe" stroked="false">
              <v:fill type="solid"/>
            </v:rect>
            <v:rect style="position:absolute;left:3349;top:2706;width:20;height:20" filled="true" fillcolor="#bebebe" stroked="false">
              <v:fill type="solid"/>
            </v:rect>
            <v:rect style="position:absolute;left:3349;top:2667;width:20;height:20" filled="true" fillcolor="#bebebe" stroked="false">
              <v:fill type="solid"/>
            </v:rect>
            <v:rect style="position:absolute;left:3349;top:2629;width:20;height:20" filled="true" fillcolor="#bebebe" stroked="false">
              <v:fill type="solid"/>
            </v:rect>
            <v:rect style="position:absolute;left:3349;top:2590;width:20;height:20" filled="true" fillcolor="#bebebe" stroked="false">
              <v:fill type="solid"/>
            </v:rect>
            <v:rect style="position:absolute;left:3970;top:2234;width:20;height:20" filled="true" fillcolor="#bebebe" stroked="false">
              <v:fill type="solid"/>
            </v:rect>
            <v:rect style="position:absolute;left:3970;top:2195;width:20;height:20" filled="true" fillcolor="#bebebe" stroked="false">
              <v:fill type="solid"/>
            </v:rect>
            <v:rect style="position:absolute;left:3970;top:2156;width:20;height:20" filled="true" fillcolor="#bebebe" stroked="false">
              <v:fill type="solid"/>
            </v:rect>
            <v:rect style="position:absolute;left:3970;top:2118;width:20;height:20" filled="true" fillcolor="#bebebe" stroked="false">
              <v:fill type="solid"/>
            </v:rect>
            <v:rect style="position:absolute;left:3970;top:2079;width:20;height:20" filled="true" fillcolor="#bebebe" stroked="false">
              <v:fill type="solid"/>
            </v:rect>
            <v:rect style="position:absolute;left:3970;top:2040;width:20;height:20" filled="true" fillcolor="#bebebe" stroked="false">
              <v:fill type="solid"/>
            </v:rect>
            <v:rect style="position:absolute;left:3970;top:2001;width:20;height:20" filled="true" fillcolor="#bebebe" stroked="false">
              <v:fill type="solid"/>
            </v:rect>
            <v:rect style="position:absolute;left:3970;top:1963;width:20;height:20" filled="true" fillcolor="#bebebe" stroked="false">
              <v:fill type="solid"/>
            </v:rect>
            <v:rect style="position:absolute;left:3970;top:1924;width:20;height:20" filled="true" fillcolor="#bebebe" stroked="false">
              <v:fill type="solid"/>
            </v:rect>
            <v:rect style="position:absolute;left:3970;top:1885;width:20;height:20" filled="true" fillcolor="#bebebe" stroked="false">
              <v:fill type="solid"/>
            </v:rect>
            <v:rect style="position:absolute;left:3970;top:1847;width:20;height:20" filled="true" fillcolor="#bebebe" stroked="false">
              <v:fill type="solid"/>
            </v:rect>
            <v:rect style="position:absolute;left:3970;top:1808;width:20;height:20" filled="true" fillcolor="#bebebe" stroked="false">
              <v:fill type="solid"/>
            </v:rect>
            <v:rect style="position:absolute;left:3970;top:1769;width:20;height:20" filled="true" fillcolor="#bebebe" stroked="false">
              <v:fill type="solid"/>
            </v:rect>
            <v:rect style="position:absolute;left:3970;top:1730;width:20;height:20" filled="true" fillcolor="#bebebe" stroked="false">
              <v:fill type="solid"/>
            </v:rect>
            <v:rect style="position:absolute;left:3970;top:1692;width:20;height:20" filled="true" fillcolor="#bebebe" stroked="false">
              <v:fill type="solid"/>
            </v:rect>
            <v:rect style="position:absolute;left:3970;top:1653;width:20;height:20" filled="true" fillcolor="#bebebe" stroked="false">
              <v:fill type="solid"/>
            </v:rect>
            <v:rect style="position:absolute;left:3970;top:1614;width:20;height:20" filled="true" fillcolor="#bebebe" stroked="false">
              <v:fill type="solid"/>
            </v:rect>
            <v:rect style="position:absolute;left:3970;top:1576;width:20;height:20" filled="true" fillcolor="#bebebe" stroked="false">
              <v:fill type="solid"/>
            </v:rect>
            <v:rect style="position:absolute;left:3970;top:1537;width:20;height:20" filled="true" fillcolor="#bebebe" stroked="false">
              <v:fill type="solid"/>
            </v:rect>
            <v:rect style="position:absolute;left:3970;top:1498;width:20;height:20" filled="true" fillcolor="#bebebe" stroked="false">
              <v:fill type="solid"/>
            </v:rect>
            <v:rect style="position:absolute;left:3970;top:1459;width:20;height:20" filled="true" fillcolor="#bebebe" stroked="false">
              <v:fill type="solid"/>
            </v:rect>
            <v:rect style="position:absolute;left:3970;top:1421;width:20;height:20" filled="true" fillcolor="#bebebe" stroked="false">
              <v:fill type="solid"/>
            </v:rect>
            <v:rect style="position:absolute;left:3970;top:1382;width:20;height:20" filled="true" fillcolor="#bebebe" stroked="false">
              <v:fill type="solid"/>
            </v:rect>
            <v:rect style="position:absolute;left:3970;top:1343;width:20;height:20" filled="true" fillcolor="#bebebe" stroked="false">
              <v:fill type="solid"/>
            </v:rect>
            <v:rect style="position:absolute;left:3970;top:1305;width:20;height:20" filled="true" fillcolor="#bebebe" stroked="false">
              <v:fill type="solid"/>
            </v:rect>
            <v:rect style="position:absolute;left:3970;top:1266;width:20;height:20" filled="true" fillcolor="#bebebe" stroked="false">
              <v:fill type="solid"/>
            </v:rect>
            <v:rect style="position:absolute;left:3970;top:1227;width:20;height:20" filled="true" fillcolor="#bebebe" stroked="false">
              <v:fill type="solid"/>
            </v:rect>
            <v:rect style="position:absolute;left:3970;top:1188;width:20;height:20" filled="true" fillcolor="#bebebe" stroked="false">
              <v:fill type="solid"/>
            </v:rect>
            <v:rect style="position:absolute;left:3970;top:1150;width:20;height:20" filled="true" fillcolor="#bebebe" stroked="false">
              <v:fill type="solid"/>
            </v:rect>
            <v:rect style="position:absolute;left:3970;top:1111;width:20;height:20" filled="true" fillcolor="#bebebe" stroked="false">
              <v:fill type="solid"/>
            </v:rect>
            <v:rect style="position:absolute;left:3970;top:1072;width:20;height:20" filled="true" fillcolor="#bebebe" stroked="false">
              <v:fill type="solid"/>
            </v:rect>
            <v:rect style="position:absolute;left:3970;top:1034;width:20;height:20" filled="true" fillcolor="#bebebe" stroked="false">
              <v:fill type="solid"/>
            </v:rect>
            <v:rect style="position:absolute;left:3970;top:995;width:20;height:20" filled="true" fillcolor="#bebebe" stroked="false">
              <v:fill type="solid"/>
            </v:rect>
            <v:rect style="position:absolute;left:3970;top:956;width:20;height:20" filled="true" fillcolor="#bebebe" stroked="false">
              <v:fill type="solid"/>
            </v:rect>
            <v:rect style="position:absolute;left:3970;top:917;width:20;height:20" filled="true" fillcolor="#bebebe" stroked="false">
              <v:fill type="solid"/>
            </v:rect>
            <v:rect style="position:absolute;left:6361;top:3906;width:20;height:20" filled="true" fillcolor="#bebebe" stroked="false">
              <v:fill type="solid"/>
            </v:rect>
            <v:rect style="position:absolute;left:6361;top:3868;width:20;height:20" filled="true" fillcolor="#bebebe" stroked="false">
              <v:fill type="solid"/>
            </v:rect>
            <v:rect style="position:absolute;left:6361;top:3829;width:20;height:20" filled="true" fillcolor="#bebebe" stroked="false">
              <v:fill type="solid"/>
            </v:rect>
            <v:rect style="position:absolute;left:6361;top:3790;width:20;height:20" filled="true" fillcolor="#bebebe" stroked="false">
              <v:fill type="solid"/>
            </v:rect>
            <v:rect style="position:absolute;left:6361;top:3751;width:20;height:20" filled="true" fillcolor="#bebebe" stroked="false">
              <v:fill type="solid"/>
            </v:rect>
            <v:rect style="position:absolute;left:6361;top:3713;width:20;height:20" filled="true" fillcolor="#bebebe" stroked="false">
              <v:fill type="solid"/>
            </v:rect>
            <v:rect style="position:absolute;left:6361;top:3674;width:20;height:20" filled="true" fillcolor="#bebebe" stroked="false">
              <v:fill type="solid"/>
            </v:rect>
            <v:rect style="position:absolute;left:6361;top:3635;width:20;height:20" filled="true" fillcolor="#bebebe" stroked="false">
              <v:fill type="solid"/>
            </v:rect>
            <v:rect style="position:absolute;left:6361;top:3597;width:20;height:20" filled="true" fillcolor="#bebebe" stroked="false">
              <v:fill type="solid"/>
            </v:rect>
            <v:rect style="position:absolute;left:6361;top:3558;width:20;height:20" filled="true" fillcolor="#bebebe" stroked="false">
              <v:fill type="solid"/>
            </v:rect>
            <v:rect style="position:absolute;left:6361;top:3519;width:20;height:20" filled="true" fillcolor="#bebebe" stroked="false">
              <v:fill type="solid"/>
            </v:rect>
            <v:rect style="position:absolute;left:6361;top:3480;width:20;height:20" filled="true" fillcolor="#bebebe" stroked="false">
              <v:fill type="solid"/>
            </v:rect>
            <v:rect style="position:absolute;left:6361;top:3442;width:20;height:20" filled="true" fillcolor="#bebebe" stroked="false">
              <v:fill type="solid"/>
            </v:rect>
            <v:rect style="position:absolute;left:6361;top:3403;width:20;height:20" filled="true" fillcolor="#bebebe" stroked="false">
              <v:fill type="solid"/>
            </v:rect>
            <v:rect style="position:absolute;left:6361;top:3364;width:20;height:20" filled="true" fillcolor="#bebebe" stroked="false">
              <v:fill type="solid"/>
            </v:rect>
            <v:rect style="position:absolute;left:6361;top:3326;width:20;height:20" filled="true" fillcolor="#bebebe" stroked="false">
              <v:fill type="solid"/>
            </v:rect>
            <v:rect style="position:absolute;left:6361;top:3287;width:20;height:20" filled="true" fillcolor="#bebebe" stroked="false">
              <v:fill type="solid"/>
            </v:rect>
            <v:rect style="position:absolute;left:6361;top:3248;width:20;height:20" filled="true" fillcolor="#bebebe" stroked="false">
              <v:fill type="solid"/>
            </v:rect>
            <v:rect style="position:absolute;left:6361;top:3209;width:20;height:20" filled="true" fillcolor="#bebebe" stroked="false">
              <v:fill type="solid"/>
            </v:rect>
            <v:rect style="position:absolute;left:6361;top:3171;width:20;height:20" filled="true" fillcolor="#bebebe" stroked="false">
              <v:fill type="solid"/>
            </v:rect>
            <v:rect style="position:absolute;left:6361;top:3132;width:20;height:20" filled="true" fillcolor="#bebebe" stroked="false">
              <v:fill type="solid"/>
            </v:rect>
            <v:rect style="position:absolute;left:6361;top:3093;width:20;height:20" filled="true" fillcolor="#bebebe" stroked="false">
              <v:fill type="solid"/>
            </v:rect>
            <v:rect style="position:absolute;left:6361;top:3055;width:20;height:20" filled="true" fillcolor="#bebebe" stroked="false">
              <v:fill type="solid"/>
            </v:rect>
            <v:rect style="position:absolute;left:6361;top:3016;width:20;height:20" filled="true" fillcolor="#bebebe" stroked="false">
              <v:fill type="solid"/>
            </v:rect>
            <v:rect style="position:absolute;left:6361;top:2977;width:20;height:20" filled="true" fillcolor="#bebebe" stroked="false">
              <v:fill type="solid"/>
            </v:rect>
            <v:rect style="position:absolute;left:6361;top:2938;width:20;height:20" filled="true" fillcolor="#bebebe" stroked="false">
              <v:fill type="solid"/>
            </v:rect>
            <v:rect style="position:absolute;left:6361;top:2900;width:20;height:20" filled="true" fillcolor="#bebebe" stroked="false">
              <v:fill type="solid"/>
            </v:rect>
            <v:rect style="position:absolute;left:6361;top:2861;width:20;height:20" filled="true" fillcolor="#bebebe" stroked="false">
              <v:fill type="solid"/>
            </v:rect>
            <v:rect style="position:absolute;left:6361;top:2822;width:20;height:20" filled="true" fillcolor="#bebebe" stroked="false">
              <v:fill type="solid"/>
            </v:rect>
            <v:rect style="position:absolute;left:6361;top:2784;width:20;height:20" filled="true" fillcolor="#bebebe" stroked="false">
              <v:fill type="solid"/>
            </v:rect>
            <v:rect style="position:absolute;left:6361;top:2745;width:20;height:20" filled="true" fillcolor="#bebebe" stroked="false">
              <v:fill type="solid"/>
            </v:rect>
            <v:rect style="position:absolute;left:6361;top:2706;width:20;height:20" filled="true" fillcolor="#bebebe" stroked="false">
              <v:fill type="solid"/>
            </v:rect>
            <v:rect style="position:absolute;left:6361;top:2667;width:20;height:20" filled="true" fillcolor="#bebebe" stroked="false">
              <v:fill type="solid"/>
            </v:rect>
            <v:rect style="position:absolute;left:6361;top:2629;width:20;height:20" filled="true" fillcolor="#bebebe" stroked="false">
              <v:fill type="solid"/>
            </v:rect>
            <v:rect style="position:absolute;left:6361;top:2590;width:20;height:20" filled="true" fillcolor="#bebebe" stroked="false">
              <v:fill type="solid"/>
            </v:rect>
            <v:rect style="position:absolute;left:7015;top:2234;width:20;height:20" filled="true" fillcolor="#6fac46" stroked="false">
              <v:fill type="solid"/>
            </v:rect>
            <v:rect style="position:absolute;left:7015;top:2195;width:20;height:20" filled="true" fillcolor="#6fac46" stroked="false">
              <v:fill type="solid"/>
            </v:rect>
            <v:rect style="position:absolute;left:7015;top:2156;width:20;height:20" filled="true" fillcolor="#6fac46" stroked="false">
              <v:fill type="solid"/>
            </v:rect>
            <v:rect style="position:absolute;left:7015;top:2118;width:20;height:20" filled="true" fillcolor="#6fac46" stroked="false">
              <v:fill type="solid"/>
            </v:rect>
            <v:rect style="position:absolute;left:7015;top:2079;width:20;height:20" filled="true" fillcolor="#6fac46" stroked="false">
              <v:fill type="solid"/>
            </v:rect>
            <v:rect style="position:absolute;left:7015;top:2040;width:20;height:20" filled="true" fillcolor="#6fac46" stroked="false">
              <v:fill type="solid"/>
            </v:rect>
            <v:rect style="position:absolute;left:7015;top:2001;width:20;height:20" filled="true" fillcolor="#6fac46" stroked="false">
              <v:fill type="solid"/>
            </v:rect>
            <v:rect style="position:absolute;left:7015;top:1963;width:20;height:20" filled="true" fillcolor="#6fac46" stroked="false">
              <v:fill type="solid"/>
            </v:rect>
            <v:rect style="position:absolute;left:7015;top:1924;width:20;height:20" filled="true" fillcolor="#6fac46" stroked="false">
              <v:fill type="solid"/>
            </v:rect>
            <v:rect style="position:absolute;left:7015;top:1885;width:20;height:20" filled="true" fillcolor="#6fac46" stroked="false">
              <v:fill type="solid"/>
            </v:rect>
            <v:rect style="position:absolute;left:7015;top:1847;width:20;height:20" filled="true" fillcolor="#6fac46" stroked="false">
              <v:fill type="solid"/>
            </v:rect>
            <v:rect style="position:absolute;left:7015;top:1808;width:20;height:20" filled="true" fillcolor="#6fac46" stroked="false">
              <v:fill type="solid"/>
            </v:rect>
            <v:rect style="position:absolute;left:7015;top:1769;width:20;height:20" filled="true" fillcolor="#6fac46" stroked="false">
              <v:fill type="solid"/>
            </v:rect>
            <v:rect style="position:absolute;left:7015;top:1730;width:20;height:20" filled="true" fillcolor="#6fac46" stroked="false">
              <v:fill type="solid"/>
            </v:rect>
            <v:rect style="position:absolute;left:7015;top:1692;width:20;height:20" filled="true" fillcolor="#6fac46" stroked="false">
              <v:fill type="solid"/>
            </v:rect>
            <v:rect style="position:absolute;left:7015;top:1653;width:20;height:20" filled="true" fillcolor="#6fac46" stroked="false">
              <v:fill type="solid"/>
            </v:rect>
            <v:rect style="position:absolute;left:7015;top:1614;width:20;height:20" filled="true" fillcolor="#6fac46" stroked="false">
              <v:fill type="solid"/>
            </v:rect>
            <v:rect style="position:absolute;left:7015;top:1576;width:20;height:20" filled="true" fillcolor="#6fac46" stroked="false">
              <v:fill type="solid"/>
            </v:rect>
            <v:rect style="position:absolute;left:7015;top:1537;width:20;height:20" filled="true" fillcolor="#6fac46" stroked="false">
              <v:fill type="solid"/>
            </v:rect>
            <v:rect style="position:absolute;left:7015;top:1498;width:20;height:20" filled="true" fillcolor="#6fac46" stroked="false">
              <v:fill type="solid"/>
            </v:rect>
            <v:rect style="position:absolute;left:7015;top:1459;width:20;height:20" filled="true" fillcolor="#6fac46" stroked="false">
              <v:fill type="solid"/>
            </v:rect>
            <v:rect style="position:absolute;left:7015;top:1421;width:20;height:20" filled="true" fillcolor="#6fac46" stroked="false">
              <v:fill type="solid"/>
            </v:rect>
            <v:rect style="position:absolute;left:7015;top:1382;width:20;height:20" filled="true" fillcolor="#6fac46" stroked="false">
              <v:fill type="solid"/>
            </v:rect>
            <v:rect style="position:absolute;left:7015;top:1343;width:20;height:20" filled="true" fillcolor="#6fac46" stroked="false">
              <v:fill type="solid"/>
            </v:rect>
            <v:rect style="position:absolute;left:7015;top:1305;width:20;height:20" filled="true" fillcolor="#6fac46" stroked="false">
              <v:fill type="solid"/>
            </v:rect>
            <v:rect style="position:absolute;left:7015;top:1266;width:20;height:20" filled="true" fillcolor="#6fac46" stroked="false">
              <v:fill type="solid"/>
            </v:rect>
            <v:rect style="position:absolute;left:7015;top:1227;width:20;height:20" filled="true" fillcolor="#6fac46" stroked="false">
              <v:fill type="solid"/>
            </v:rect>
            <v:rect style="position:absolute;left:7015;top:1188;width:20;height:20" filled="true" fillcolor="#6fac46" stroked="false">
              <v:fill type="solid"/>
            </v:rect>
            <v:rect style="position:absolute;left:7015;top:1150;width:20;height:20" filled="true" fillcolor="#6fac46" stroked="false">
              <v:fill type="solid"/>
            </v:rect>
            <v:rect style="position:absolute;left:7015;top:1111;width:20;height:20" filled="true" fillcolor="#6fac46" stroked="false">
              <v:fill type="solid"/>
            </v:rect>
            <v:rect style="position:absolute;left:7015;top:1072;width:20;height:20" filled="true" fillcolor="#6fac46" stroked="false">
              <v:fill type="solid"/>
            </v:rect>
            <v:rect style="position:absolute;left:7015;top:1034;width:20;height:20" filled="true" fillcolor="#6fac46" stroked="false">
              <v:fill type="solid"/>
            </v:rect>
            <v:rect style="position:absolute;left:7015;top:995;width:20;height:20" filled="true" fillcolor="#6fac46" stroked="false">
              <v:fill type="solid"/>
            </v:rect>
            <v:rect style="position:absolute;left:7015;top:956;width:20;height:20" filled="true" fillcolor="#6fac46" stroked="false">
              <v:fill type="solid"/>
            </v:rect>
            <v:rect style="position:absolute;left:7015;top:917;width:20;height:20" filled="true" fillcolor="#6fac46" stroked="false">
              <v:fill type="solid"/>
            </v:rect>
            <v:rect style="position:absolute;left:9217;top:3906;width:20;height:20" filled="true" fillcolor="#bebebe" stroked="false">
              <v:fill type="solid"/>
            </v:rect>
            <v:rect style="position:absolute;left:9217;top:3868;width:20;height:20" filled="true" fillcolor="#bebebe" stroked="false">
              <v:fill type="solid"/>
            </v:rect>
            <v:rect style="position:absolute;left:9217;top:3829;width:20;height:20" filled="true" fillcolor="#bebebe" stroked="false">
              <v:fill type="solid"/>
            </v:rect>
            <v:rect style="position:absolute;left:9217;top:3790;width:20;height:20" filled="true" fillcolor="#bebebe" stroked="false">
              <v:fill type="solid"/>
            </v:rect>
            <v:rect style="position:absolute;left:9217;top:3751;width:20;height:20" filled="true" fillcolor="#bebebe" stroked="false">
              <v:fill type="solid"/>
            </v:rect>
            <v:rect style="position:absolute;left:9217;top:3713;width:20;height:20" filled="true" fillcolor="#bebebe" stroked="false">
              <v:fill type="solid"/>
            </v:rect>
            <v:rect style="position:absolute;left:9217;top:3674;width:20;height:20" filled="true" fillcolor="#bebebe" stroked="false">
              <v:fill type="solid"/>
            </v:rect>
            <v:rect style="position:absolute;left:9217;top:3635;width:20;height:20" filled="true" fillcolor="#bebebe" stroked="false">
              <v:fill type="solid"/>
            </v:rect>
            <v:rect style="position:absolute;left:9217;top:3597;width:20;height:20" filled="true" fillcolor="#bebebe" stroked="false">
              <v:fill type="solid"/>
            </v:rect>
            <v:rect style="position:absolute;left:9217;top:3558;width:20;height:20" filled="true" fillcolor="#bebebe" stroked="false">
              <v:fill type="solid"/>
            </v:rect>
            <v:rect style="position:absolute;left:9217;top:3519;width:20;height:20" filled="true" fillcolor="#bebebe" stroked="false">
              <v:fill type="solid"/>
            </v:rect>
            <v:rect style="position:absolute;left:9217;top:3287;width:20;height:20" filled="true" fillcolor="#bebebe" stroked="false">
              <v:fill type="solid"/>
            </v:rect>
            <v:rect style="position:absolute;left:9217;top:3248;width:20;height:20" filled="true" fillcolor="#bebebe" stroked="false">
              <v:fill type="solid"/>
            </v:rect>
            <v:rect style="position:absolute;left:9217;top:3209;width:20;height:20" filled="true" fillcolor="#bebebe" stroked="false">
              <v:fill type="solid"/>
            </v:rect>
            <v:rect style="position:absolute;left:9217;top:3171;width:20;height:20" filled="true" fillcolor="#bebebe" stroked="false">
              <v:fill type="solid"/>
            </v:rect>
            <v:rect style="position:absolute;left:9217;top:3132;width:20;height:20" filled="true" fillcolor="#bebebe" stroked="false">
              <v:fill type="solid"/>
            </v:rect>
            <v:rect style="position:absolute;left:9217;top:3093;width:20;height:20" filled="true" fillcolor="#bebebe" stroked="false">
              <v:fill type="solid"/>
            </v:rect>
            <v:rect style="position:absolute;left:9217;top:3055;width:20;height:20" filled="true" fillcolor="#bebebe" stroked="false">
              <v:fill type="solid"/>
            </v:rect>
            <v:rect style="position:absolute;left:9217;top:3016;width:20;height:20" filled="true" fillcolor="#bebebe" stroked="false">
              <v:fill type="solid"/>
            </v:rect>
            <v:rect style="position:absolute;left:9217;top:2977;width:20;height:20" filled="true" fillcolor="#bebebe" stroked="false">
              <v:fill type="solid"/>
            </v:rect>
            <v:rect style="position:absolute;left:9217;top:2938;width:20;height:20" filled="true" fillcolor="#bebebe" stroked="false">
              <v:fill type="solid"/>
            </v:rect>
            <v:rect style="position:absolute;left:9217;top:2900;width:20;height:20" filled="true" fillcolor="#bebebe" stroked="false">
              <v:fill type="solid"/>
            </v:rect>
            <v:rect style="position:absolute;left:9217;top:2861;width:20;height:20" filled="true" fillcolor="#bebebe" stroked="false">
              <v:fill type="solid"/>
            </v:rect>
            <v:rect style="position:absolute;left:9217;top:2822;width:20;height:20" filled="true" fillcolor="#bebebe" stroked="false">
              <v:fill type="solid"/>
            </v:rect>
            <v:rect style="position:absolute;left:9217;top:2784;width:20;height:20" filled="true" fillcolor="#bebebe" stroked="false">
              <v:fill type="solid"/>
            </v:rect>
            <v:rect style="position:absolute;left:9217;top:2745;width:20;height:20" filled="true" fillcolor="#bebebe" stroked="false">
              <v:fill type="solid"/>
            </v:rect>
            <v:rect style="position:absolute;left:9217;top:2706;width:20;height:20" filled="true" fillcolor="#bebebe" stroked="false">
              <v:fill type="solid"/>
            </v:rect>
            <v:rect style="position:absolute;left:9217;top:2667;width:20;height:20" filled="true" fillcolor="#bebebe" stroked="false">
              <v:fill type="solid"/>
            </v:rect>
            <v:rect style="position:absolute;left:9217;top:2629;width:20;height:20" filled="true" fillcolor="#bebebe" stroked="false">
              <v:fill type="solid"/>
            </v:rect>
            <v:rect style="position:absolute;left:9217;top:2590;width:20;height:20" filled="true" fillcolor="#bebebe" stroked="false">
              <v:fill type="solid"/>
            </v:rect>
            <v:rect style="position:absolute;left:1793;top:246;width:5405;height:4015" filled="false" stroked="true" strokeweight=".645853pt" strokecolor="#92d050">
              <v:stroke dashstyle="shortdash"/>
            </v:rect>
            <v:shape style="position:absolute;left:1441;top:2033;width:771;height:769" coordorigin="1441,2034" coordsize="771,769" path="m1826,2034l1749,2041,1676,2064,1611,2099,1554,2146,1507,2203,1471,2268,1449,2340,1441,2418,1449,2495,1471,2567,1507,2632,1554,2689,1611,2736,1676,2772,1749,2794,1826,2802,1904,2794,1976,2772,2041,2736,2098,2689,2145,2632,2181,2567,2203,2495,2211,2418,2203,2340,2181,2268,2145,2203,2098,2146,2041,2099,1976,2064,1904,2041,1826,2034xe" filled="true" fillcolor="#6fac46" stroked="false">
              <v:path arrowok="t"/>
              <v:fill type="solid"/>
            </v:shape>
            <v:rect style="position:absolute;left:8975;top:3526;width:1039;height:640" filled="false" stroked="true" strokeweight=".645718pt" strokecolor="#ffc000">
              <v:stroke dashstyle="longdash"/>
            </v:rect>
            <v:rect style="position:absolute;left:7280;top:246;width:3048;height:4015" filled="false" stroked="true" strokeweight=".646319pt" strokecolor="#5b9bd4">
              <v:stroke dashstyle="shortdash"/>
            </v:rect>
            <v:shape style="position:absolute;left:1887;top:322;width:3861;height:142" type="#_x0000_t202" filled="false" stroked="false">
              <v:textbox inset="0,0,0,0">
                <w:txbxContent>
                  <w:p>
                    <w:pPr>
                      <w:spacing w:before="6"/>
                      <w:ind w:left="0" w:right="0" w:firstLine="0"/>
                      <w:jc w:val="left"/>
                      <w:rPr>
                        <w:b/>
                        <w:sz w:val="11"/>
                      </w:rPr>
                    </w:pPr>
                    <w:r>
                      <w:rPr>
                        <w:b/>
                        <w:color w:val="6FAC46"/>
                        <w:w w:val="105"/>
                        <w:sz w:val="11"/>
                      </w:rPr>
                      <w:t>First phase of evaluation – Implementation of action plans</w:t>
                    </w:r>
                  </w:p>
                </w:txbxContent>
              </v:textbox>
              <w10:wrap type="none"/>
            </v:shape>
            <v:shape style="position:absolute;left:7327;top:292;width:2871;height:281" type="#_x0000_t202" filled="false" stroked="false">
              <v:textbox inset="0,0,0,0">
                <w:txbxContent>
                  <w:p>
                    <w:pPr>
                      <w:spacing w:line="249" w:lineRule="auto" w:before="6"/>
                      <w:ind w:left="0" w:right="0" w:firstLine="0"/>
                      <w:jc w:val="left"/>
                      <w:rPr>
                        <w:b/>
                        <w:sz w:val="11"/>
                      </w:rPr>
                    </w:pPr>
                    <w:r>
                      <w:rPr>
                        <w:b/>
                        <w:color w:val="5B9BD4"/>
                        <w:w w:val="105"/>
                        <w:sz w:val="11"/>
                      </w:rPr>
                      <w:t>Second phase of evaluation – systems level evaluation</w:t>
                    </w:r>
                  </w:p>
                </w:txbxContent>
              </v:textbox>
              <w10:wrap type="none"/>
            </v:shape>
            <v:shape style="position:absolute;left:3061;top:828;width:1719;height:560" type="#_x0000_t202" filled="false" stroked="false">
              <v:textbox inset="0,0,0,0">
                <w:txbxContent>
                  <w:p>
                    <w:pPr>
                      <w:tabs>
                        <w:tab w:pos="1046" w:val="left" w:leader="none"/>
                      </w:tabs>
                      <w:spacing w:before="6"/>
                      <w:ind w:left="0" w:right="0" w:firstLine="0"/>
                      <w:jc w:val="left"/>
                      <w:rPr>
                        <w:b/>
                        <w:sz w:val="11"/>
                      </w:rPr>
                    </w:pPr>
                    <w:r>
                      <w:rPr>
                        <w:b/>
                        <w:color w:val="6FAC46"/>
                        <w:w w:val="105"/>
                        <w:sz w:val="11"/>
                      </w:rPr>
                      <w:t>Mid</w:t>
                    </w:r>
                    <w:r>
                      <w:rPr>
                        <w:b/>
                        <w:color w:val="6FAC46"/>
                        <w:spacing w:val="-1"/>
                        <w:w w:val="105"/>
                        <w:sz w:val="11"/>
                      </w:rPr>
                      <w:t> </w:t>
                    </w:r>
                    <w:r>
                      <w:rPr>
                        <w:b/>
                        <w:color w:val="6FAC46"/>
                        <w:w w:val="105"/>
                        <w:sz w:val="11"/>
                      </w:rPr>
                      <w:t>2020</w:t>
                      <w:tab/>
                      <w:t>Late 2020</w:t>
                    </w:r>
                  </w:p>
                  <w:p>
                    <w:pPr>
                      <w:tabs>
                        <w:tab w:pos="1046" w:val="left" w:leader="none"/>
                      </w:tabs>
                      <w:spacing w:line="249" w:lineRule="auto" w:before="6"/>
                      <w:ind w:left="1046" w:right="162" w:hanging="1047"/>
                      <w:jc w:val="left"/>
                      <w:rPr>
                        <w:sz w:val="11"/>
                      </w:rPr>
                    </w:pPr>
                    <w:r>
                      <w:rPr>
                        <w:color w:val="6FAC46"/>
                        <w:w w:val="105"/>
                        <w:sz w:val="11"/>
                      </w:rPr>
                      <w:t>Project</w:t>
                    </w:r>
                    <w:r>
                      <w:rPr>
                        <w:color w:val="6FAC46"/>
                        <w:spacing w:val="1"/>
                        <w:w w:val="105"/>
                        <w:sz w:val="11"/>
                      </w:rPr>
                      <w:t> </w:t>
                    </w:r>
                    <w:r>
                      <w:rPr>
                        <w:color w:val="6FAC46"/>
                        <w:w w:val="105"/>
                        <w:sz w:val="11"/>
                      </w:rPr>
                      <w:t>plan</w:t>
                      <w:tab/>
                      <w:t>Annual progress report</w:t>
                    </w:r>
                  </w:p>
                </w:txbxContent>
              </v:textbox>
              <w10:wrap type="none"/>
            </v:shape>
            <v:shape style="position:absolute;left:6257;top:816;width:673;height:560" type="#_x0000_t202" filled="false" stroked="false">
              <v:textbox inset="0,0,0,0">
                <w:txbxContent>
                  <w:p>
                    <w:pPr>
                      <w:spacing w:line="249" w:lineRule="auto" w:before="6"/>
                      <w:ind w:left="0" w:right="5" w:firstLine="0"/>
                      <w:jc w:val="left"/>
                      <w:rPr>
                        <w:sz w:val="11"/>
                      </w:rPr>
                    </w:pPr>
                    <w:r>
                      <w:rPr>
                        <w:b/>
                        <w:color w:val="6FAC46"/>
                        <w:w w:val="105"/>
                        <w:sz w:val="11"/>
                      </w:rPr>
                      <w:t>Late 2021 </w:t>
                    </w:r>
                    <w:r>
                      <w:rPr>
                        <w:color w:val="6FAC46"/>
                        <w:w w:val="105"/>
                        <w:sz w:val="11"/>
                      </w:rPr>
                      <w:t>Annual progress report</w:t>
                    </w:r>
                  </w:p>
                </w:txbxContent>
              </v:textbox>
              <w10:wrap type="none"/>
            </v:shape>
            <v:shape style="position:absolute;left:1622;top:2330;width:424;height:174" type="#_x0000_t202" filled="false" stroked="false">
              <v:textbox inset="0,0,0,0">
                <w:txbxContent>
                  <w:p>
                    <w:pPr>
                      <w:spacing w:before="2"/>
                      <w:ind w:left="0" w:right="0" w:firstLine="0"/>
                      <w:jc w:val="left"/>
                      <w:rPr>
                        <w:b/>
                        <w:sz w:val="14"/>
                      </w:rPr>
                    </w:pPr>
                    <w:r>
                      <w:rPr>
                        <w:b/>
                        <w:color w:val="FFFFFF"/>
                        <w:sz w:val="14"/>
                      </w:rPr>
                      <w:t>2020</w:t>
                    </w:r>
                  </w:p>
                </w:txbxContent>
              </v:textbox>
              <w10:wrap type="none"/>
            </v:shape>
            <v:shape style="position:absolute;left:4543;top:2330;width:424;height:174" type="#_x0000_t202" filled="false" stroked="false">
              <v:textbox inset="0,0,0,0">
                <w:txbxContent>
                  <w:p>
                    <w:pPr>
                      <w:spacing w:before="2"/>
                      <w:ind w:left="0" w:right="0" w:firstLine="0"/>
                      <w:jc w:val="left"/>
                      <w:rPr>
                        <w:b/>
                        <w:sz w:val="14"/>
                      </w:rPr>
                    </w:pPr>
                    <w:r>
                      <w:rPr>
                        <w:b/>
                        <w:color w:val="FFFFFF"/>
                        <w:sz w:val="14"/>
                      </w:rPr>
                      <w:t>2021</w:t>
                    </w:r>
                  </w:p>
                </w:txbxContent>
              </v:textbox>
              <w10:wrap type="none"/>
            </v:shape>
            <v:shape style="position:absolute;left:7464;top:2330;width:424;height:174" type="#_x0000_t202" filled="false" stroked="false">
              <v:textbox inset="0,0,0,0">
                <w:txbxContent>
                  <w:p>
                    <w:pPr>
                      <w:spacing w:before="2"/>
                      <w:ind w:left="0" w:right="0" w:firstLine="0"/>
                      <w:jc w:val="left"/>
                      <w:rPr>
                        <w:b/>
                        <w:sz w:val="14"/>
                      </w:rPr>
                    </w:pPr>
                    <w:r>
                      <w:rPr>
                        <w:b/>
                        <w:color w:val="FFFFFF"/>
                        <w:sz w:val="14"/>
                      </w:rPr>
                      <w:t>2022</w:t>
                    </w:r>
                  </w:p>
                </w:txbxContent>
              </v:textbox>
              <w10:wrap type="none"/>
            </v:shape>
            <v:shape style="position:absolute;left:8948;top:3364;width:909;height:142" type="#_x0000_t202" filled="false" stroked="false">
              <v:textbox inset="0,0,0,0">
                <w:txbxContent>
                  <w:p>
                    <w:pPr>
                      <w:spacing w:before="6"/>
                      <w:ind w:left="0" w:right="0" w:firstLine="0"/>
                      <w:jc w:val="left"/>
                      <w:rPr>
                        <w:b/>
                        <w:sz w:val="11"/>
                      </w:rPr>
                    </w:pPr>
                    <w:r>
                      <w:rPr>
                        <w:b/>
                        <w:color w:val="EC7C30"/>
                        <w:w w:val="105"/>
                        <w:sz w:val="11"/>
                      </w:rPr>
                      <w:t>THIS REPORT</w:t>
                    </w:r>
                  </w:p>
                </w:txbxContent>
              </v:textbox>
              <w10:wrap type="none"/>
            </v:shape>
            <v:shape style="position:absolute;left:3443;top:3640;width:769;height:420" type="#_x0000_t202" filled="false" stroked="false">
              <v:textbox inset="0,0,0,0">
                <w:txbxContent>
                  <w:p>
                    <w:pPr>
                      <w:spacing w:before="6"/>
                      <w:ind w:left="0" w:right="0" w:firstLine="0"/>
                      <w:jc w:val="left"/>
                      <w:rPr>
                        <w:b/>
                        <w:sz w:val="11"/>
                      </w:rPr>
                    </w:pPr>
                    <w:r>
                      <w:rPr>
                        <w:b/>
                        <w:color w:val="6FAC46"/>
                        <w:w w:val="105"/>
                        <w:sz w:val="11"/>
                      </w:rPr>
                      <w:t>Mid 2020</w:t>
                    </w:r>
                  </w:p>
                  <w:p>
                    <w:pPr>
                      <w:spacing w:line="249" w:lineRule="auto" w:before="6"/>
                      <w:ind w:left="0" w:right="9" w:firstLine="0"/>
                      <w:jc w:val="left"/>
                      <w:rPr>
                        <w:sz w:val="11"/>
                      </w:rPr>
                    </w:pPr>
                    <w:r>
                      <w:rPr>
                        <w:color w:val="6FAC46"/>
                        <w:w w:val="105"/>
                        <w:sz w:val="11"/>
                      </w:rPr>
                      <w:t>Methodology paper</w:t>
                    </w:r>
                  </w:p>
                </w:txbxContent>
              </v:textbox>
              <w10:wrap type="none"/>
            </v:shape>
            <v:shape style="position:absolute;left:6464;top:3640;width:622;height:420" type="#_x0000_t202" filled="false" stroked="false">
              <v:textbox inset="0,0,0,0">
                <w:txbxContent>
                  <w:p>
                    <w:pPr>
                      <w:spacing w:before="6"/>
                      <w:ind w:left="0" w:right="0" w:firstLine="0"/>
                      <w:jc w:val="left"/>
                      <w:rPr>
                        <w:b/>
                        <w:sz w:val="11"/>
                      </w:rPr>
                    </w:pPr>
                    <w:r>
                      <w:rPr>
                        <w:b/>
                        <w:color w:val="6FAC46"/>
                        <w:w w:val="105"/>
                        <w:sz w:val="11"/>
                      </w:rPr>
                      <w:t>Mid 2021</w:t>
                    </w:r>
                  </w:p>
                  <w:p>
                    <w:pPr>
                      <w:spacing w:line="249" w:lineRule="auto" w:before="6"/>
                      <w:ind w:left="0" w:right="119" w:firstLine="0"/>
                      <w:jc w:val="left"/>
                      <w:rPr>
                        <w:sz w:val="11"/>
                      </w:rPr>
                    </w:pPr>
                    <w:r>
                      <w:rPr>
                        <w:color w:val="6FAC46"/>
                        <w:w w:val="105"/>
                        <w:sz w:val="11"/>
                      </w:rPr>
                      <w:t>Baseline report</w:t>
                    </w:r>
                  </w:p>
                </w:txbxContent>
              </v:textbox>
              <w10:wrap type="none"/>
            </v:shape>
            <v:shape style="position:absolute;left:9320;top:3640;width:631;height:420" type="#_x0000_t202" filled="false" stroked="false">
              <v:textbox inset="0,0,0,0">
                <w:txbxContent>
                  <w:p>
                    <w:pPr>
                      <w:spacing w:before="6"/>
                      <w:ind w:left="0" w:right="0" w:firstLine="0"/>
                      <w:jc w:val="left"/>
                      <w:rPr>
                        <w:b/>
                        <w:sz w:val="11"/>
                      </w:rPr>
                    </w:pPr>
                    <w:r>
                      <w:rPr>
                        <w:b/>
                        <w:color w:val="5B9BD4"/>
                        <w:w w:val="105"/>
                        <w:sz w:val="11"/>
                      </w:rPr>
                      <w:t>Mid 2022</w:t>
                    </w:r>
                  </w:p>
                  <w:p>
                    <w:pPr>
                      <w:spacing w:line="249" w:lineRule="auto" w:before="6"/>
                      <w:ind w:left="0" w:right="5" w:firstLine="0"/>
                      <w:jc w:val="left"/>
                      <w:rPr>
                        <w:sz w:val="11"/>
                      </w:rPr>
                    </w:pPr>
                    <w:r>
                      <w:rPr>
                        <w:color w:val="5B9BD4"/>
                        <w:w w:val="105"/>
                        <w:sz w:val="11"/>
                      </w:rPr>
                      <w:t>Evaluation report</w:t>
                    </w:r>
                  </w:p>
                </w:txbxContent>
              </v:textbox>
              <w10:wrap type="none"/>
            </v:shape>
            <w10:wrap type="topAndBottom"/>
          </v:group>
        </w:pict>
      </w:r>
    </w:p>
    <w:p>
      <w:pPr>
        <w:pStyle w:val="BodyText"/>
        <w:spacing w:before="5"/>
        <w:rPr>
          <w:sz w:val="15"/>
        </w:rPr>
      </w:pPr>
    </w:p>
    <w:p>
      <w:pPr>
        <w:spacing w:before="0"/>
        <w:ind w:left="700" w:right="0" w:firstLine="0"/>
        <w:jc w:val="left"/>
        <w:rPr>
          <w:sz w:val="16"/>
        </w:rPr>
      </w:pPr>
      <w:r>
        <w:rPr>
          <w:color w:val="75787A"/>
          <w:sz w:val="16"/>
        </w:rPr>
        <w:t>Source: Deloitte Access Economics</w:t>
      </w:r>
    </w:p>
    <w:p>
      <w:pPr>
        <w:pStyle w:val="BodyText"/>
        <w:spacing w:before="9"/>
        <w:rPr>
          <w:sz w:val="15"/>
        </w:rPr>
      </w:pPr>
    </w:p>
    <w:p>
      <w:pPr>
        <w:pStyle w:val="BodyText"/>
        <w:spacing w:line="264" w:lineRule="auto"/>
        <w:ind w:left="700" w:right="794"/>
      </w:pPr>
      <w:r>
        <w:rPr>
          <w:b/>
        </w:rPr>
        <w:t>The first phase </w:t>
      </w:r>
      <w:r>
        <w:rPr/>
        <w:t>of the evaluation focused on the implementation of action plans. The baseline report noted that improvements are starting to be made within the </w:t>
      </w:r>
      <w:r>
        <w:rPr>
          <w:i/>
        </w:rPr>
        <w:t>Our Way </w:t>
      </w:r>
      <w:r>
        <w:rPr/>
        <w:t>system. However, more work is required to articulate the system change sought through </w:t>
      </w:r>
      <w:r>
        <w:rPr>
          <w:i/>
        </w:rPr>
        <w:t>Our Way</w:t>
      </w:r>
      <w:r>
        <w:rPr/>
        <w:t>, and the extent to which all stakeholders can act, share accountability, collaborate and contribute to the attainment of its objectives.</w:t>
      </w:r>
    </w:p>
    <w:p>
      <w:pPr>
        <w:pStyle w:val="BodyText"/>
        <w:spacing w:line="264" w:lineRule="auto" w:before="168"/>
        <w:ind w:left="700" w:right="710"/>
      </w:pPr>
      <w:r>
        <w:rPr/>
        <w:t>Towards the end of the first phase of the evaluation, there was consensus among strategy partners, Deloitte and Murawin that the evaluation questions required reconsideration. This is not uncommon in longer term evaluations, where evaluation scope and approach are iteratively refined to ensure the evaluation framework continues to be fit-for-purpose.</w:t>
      </w:r>
    </w:p>
    <w:p>
      <w:pPr>
        <w:pStyle w:val="BodyText"/>
        <w:spacing w:line="264" w:lineRule="auto" w:before="165"/>
        <w:ind w:left="700" w:right="731"/>
      </w:pPr>
      <w:r>
        <w:rPr/>
        <w:t>Lessons from the first phase of the evaluation identified a need for additional information to strengthen the foundation for ongoing and future evaluation of action plans within </w:t>
      </w:r>
      <w:r>
        <w:rPr>
          <w:i/>
        </w:rPr>
        <w:t>Our Way</w:t>
      </w:r>
      <w:r>
        <w:rPr/>
        <w:t>. It was agreed that the second phase of the evaluation should seek to develop a Theory of Change and program logic model. This will help ensure future actions are strongly aligned to focus areas that will have the greatest impact in the remaining fifteen years of </w:t>
      </w:r>
      <w:r>
        <w:rPr>
          <w:i/>
        </w:rPr>
        <w:t>Our Way</w:t>
      </w:r>
      <w:r>
        <w:rPr/>
        <w:t>.</w:t>
      </w:r>
    </w:p>
    <w:p>
      <w:pPr>
        <w:pStyle w:val="Heading4"/>
        <w:spacing w:before="168"/>
        <w:ind w:left="700"/>
      </w:pPr>
      <w:r>
        <w:rPr>
          <w:color w:val="75787A"/>
        </w:rPr>
        <w:t>Systems level evaluation</w:t>
      </w:r>
    </w:p>
    <w:p>
      <w:pPr>
        <w:pStyle w:val="BodyText"/>
        <w:spacing w:before="21"/>
        <w:ind w:left="700"/>
        <w:rPr>
          <w:b/>
        </w:rPr>
      </w:pPr>
      <w:r>
        <w:rPr/>
        <w:t>Given findings identified in the first phase of this evaluation, it was agreed that </w:t>
      </w:r>
      <w:r>
        <w:rPr>
          <w:b/>
        </w:rPr>
        <w:t>the second phase</w:t>
      </w:r>
    </w:p>
    <w:p>
      <w:pPr>
        <w:pStyle w:val="BodyText"/>
        <w:spacing w:before="21"/>
        <w:ind w:left="700"/>
      </w:pPr>
      <w:r>
        <w:rPr/>
        <w:t>of the evaluation would be a systems level evaluation. The objectives of this phase are to:</w:t>
      </w:r>
    </w:p>
    <w:p>
      <w:pPr>
        <w:spacing w:after="0"/>
        <w:sectPr>
          <w:pgSz w:w="11910" w:h="16840"/>
          <w:pgMar w:header="650" w:footer="420" w:top="840" w:bottom="620" w:left="740" w:right="720"/>
        </w:sectPr>
      </w:pPr>
    </w:p>
    <w:p>
      <w:pPr>
        <w:pStyle w:val="BodyText"/>
        <w:rPr>
          <w:sz w:val="20"/>
        </w:rPr>
      </w:pPr>
    </w:p>
    <w:p>
      <w:pPr>
        <w:pStyle w:val="BodyText"/>
        <w:rPr>
          <w:sz w:val="22"/>
        </w:rPr>
      </w:pPr>
    </w:p>
    <w:p>
      <w:pPr>
        <w:pStyle w:val="ListParagraph"/>
        <w:numPr>
          <w:ilvl w:val="0"/>
          <w:numId w:val="3"/>
        </w:numPr>
        <w:tabs>
          <w:tab w:pos="1061" w:val="left" w:leader="none"/>
        </w:tabs>
        <w:spacing w:line="261" w:lineRule="auto" w:before="100" w:after="0"/>
        <w:ind w:left="1060" w:right="834" w:hanging="360"/>
        <w:jc w:val="both"/>
        <w:rPr>
          <w:sz w:val="18"/>
        </w:rPr>
      </w:pPr>
      <w:r>
        <w:rPr>
          <w:sz w:val="18"/>
        </w:rPr>
        <w:t>Develop a clearer link between the objectives of </w:t>
      </w:r>
      <w:r>
        <w:rPr>
          <w:i/>
          <w:sz w:val="18"/>
        </w:rPr>
        <w:t>Our Way</w:t>
      </w:r>
      <w:r>
        <w:rPr>
          <w:sz w:val="18"/>
        </w:rPr>
        <w:t>, the change sought, and the actions required to achieve these outcomes. As part of this process, a Theory of Change and program logic model were developed in collaboration with system</w:t>
      </w:r>
      <w:r>
        <w:rPr>
          <w:spacing w:val="-6"/>
          <w:sz w:val="18"/>
        </w:rPr>
        <w:t> </w:t>
      </w:r>
      <w:r>
        <w:rPr>
          <w:sz w:val="18"/>
        </w:rPr>
        <w:t>stakeholders.</w:t>
      </w:r>
    </w:p>
    <w:p>
      <w:pPr>
        <w:pStyle w:val="ListParagraph"/>
        <w:numPr>
          <w:ilvl w:val="0"/>
          <w:numId w:val="3"/>
        </w:numPr>
        <w:tabs>
          <w:tab w:pos="1061" w:val="left" w:leader="none"/>
        </w:tabs>
        <w:spacing w:line="261" w:lineRule="auto" w:before="3" w:after="0"/>
        <w:ind w:left="1060" w:right="784" w:hanging="360"/>
        <w:jc w:val="both"/>
        <w:rPr>
          <w:sz w:val="18"/>
        </w:rPr>
      </w:pPr>
      <w:r>
        <w:rPr>
          <w:sz w:val="18"/>
        </w:rPr>
        <w:t>Identify potential solutions to engender greater cross-system stakeholder buy in to </w:t>
      </w:r>
      <w:r>
        <w:rPr>
          <w:i/>
          <w:sz w:val="18"/>
        </w:rPr>
        <w:t>Our Way</w:t>
      </w:r>
      <w:r>
        <w:rPr>
          <w:sz w:val="18"/>
        </w:rPr>
        <w:t>. This is critical to support the system transformation required to achieve the vision of </w:t>
      </w:r>
      <w:r>
        <w:rPr>
          <w:i/>
          <w:sz w:val="18"/>
        </w:rPr>
        <w:t>Our</w:t>
      </w:r>
      <w:r>
        <w:rPr>
          <w:i/>
          <w:spacing w:val="-38"/>
          <w:sz w:val="18"/>
        </w:rPr>
        <w:t> </w:t>
      </w:r>
      <w:r>
        <w:rPr>
          <w:i/>
          <w:sz w:val="18"/>
        </w:rPr>
        <w:t>Way</w:t>
      </w:r>
      <w:r>
        <w:rPr>
          <w:sz w:val="18"/>
        </w:rPr>
        <w:t>.</w:t>
      </w:r>
    </w:p>
    <w:p>
      <w:pPr>
        <w:pStyle w:val="ListParagraph"/>
        <w:numPr>
          <w:ilvl w:val="0"/>
          <w:numId w:val="3"/>
        </w:numPr>
        <w:tabs>
          <w:tab w:pos="1061" w:val="left" w:leader="none"/>
        </w:tabs>
        <w:spacing w:line="240" w:lineRule="auto" w:before="1" w:after="0"/>
        <w:ind w:left="1060" w:right="0" w:hanging="361"/>
        <w:jc w:val="both"/>
        <w:rPr>
          <w:sz w:val="18"/>
        </w:rPr>
      </w:pPr>
      <w:r>
        <w:rPr>
          <w:sz w:val="18"/>
        </w:rPr>
        <w:t>Unpack stakeholders’ views on how to collectively build on what is working well and how</w:t>
      </w:r>
      <w:r>
        <w:rPr>
          <w:spacing w:val="-29"/>
          <w:sz w:val="18"/>
        </w:rPr>
        <w:t> </w:t>
      </w:r>
      <w:r>
        <w:rPr>
          <w:sz w:val="18"/>
        </w:rPr>
        <w:t>things</w:t>
      </w:r>
    </w:p>
    <w:p>
      <w:pPr>
        <w:pStyle w:val="BodyText"/>
        <w:spacing w:before="20"/>
        <w:ind w:left="1060"/>
        <w:jc w:val="both"/>
      </w:pPr>
      <w:r>
        <w:rPr/>
        <w:t>could be done differently to enable the effective implementation of the strategy.</w:t>
      </w:r>
    </w:p>
    <w:p>
      <w:pPr>
        <w:pStyle w:val="BodyText"/>
        <w:spacing w:line="264" w:lineRule="auto" w:before="191"/>
        <w:ind w:left="700" w:right="996"/>
      </w:pPr>
      <w:r>
        <w:rPr/>
        <w:t>The second phase of the evaluation consists of three main activities – Theory of Change and program logic model workshops (n=19) semi-structured interviews with selected government stakeholders and Aboriginal and Torres Strait Islander community representatives (n=25) and a network analysis survey (n=23).</w:t>
      </w:r>
    </w:p>
    <w:p>
      <w:pPr>
        <w:pStyle w:val="BodyText"/>
        <w:rPr>
          <w:sz w:val="19"/>
        </w:rPr>
      </w:pPr>
    </w:p>
    <w:p>
      <w:pPr>
        <w:spacing w:before="0"/>
        <w:ind w:left="700" w:right="0" w:firstLine="0"/>
        <w:jc w:val="left"/>
        <w:rPr>
          <w:b/>
          <w:sz w:val="22"/>
        </w:rPr>
      </w:pPr>
      <w:bookmarkStart w:name="_bookmark8" w:id="9"/>
      <w:bookmarkEnd w:id="9"/>
      <w:r>
        <w:rPr/>
      </w:r>
      <w:r>
        <w:rPr>
          <w:b/>
          <w:color w:val="61B5E4"/>
          <w:sz w:val="22"/>
        </w:rPr>
        <w:t>Key findings on the </w:t>
      </w:r>
      <w:r>
        <w:rPr>
          <w:b/>
          <w:i/>
          <w:color w:val="61B5E4"/>
          <w:sz w:val="22"/>
        </w:rPr>
        <w:t>Our Way </w:t>
      </w:r>
      <w:r>
        <w:rPr>
          <w:b/>
          <w:color w:val="61B5E4"/>
          <w:sz w:val="22"/>
        </w:rPr>
        <w:t>system</w:t>
      </w:r>
    </w:p>
    <w:p>
      <w:pPr>
        <w:pStyle w:val="Heading4"/>
        <w:spacing w:before="21"/>
        <w:ind w:left="700"/>
      </w:pPr>
      <w:r>
        <w:rPr>
          <w:color w:val="75787A"/>
        </w:rPr>
        <w:t>System stakeholders</w:t>
      </w:r>
    </w:p>
    <w:p>
      <w:pPr>
        <w:pStyle w:val="BodyText"/>
        <w:spacing w:line="264" w:lineRule="auto" w:before="21"/>
        <w:ind w:left="700" w:right="758"/>
      </w:pPr>
      <w:r>
        <w:rPr/>
        <w:t>The </w:t>
      </w:r>
      <w:r>
        <w:rPr>
          <w:i/>
        </w:rPr>
        <w:t>Our Way </w:t>
      </w:r>
      <w:r>
        <w:rPr/>
        <w:t>system (see </w:t>
      </w:r>
      <w:hyperlink w:history="true" w:anchor="_bookmark9">
        <w:r>
          <w:rPr/>
          <w:t>Figure iii</w:t>
        </w:r>
      </w:hyperlink>
      <w:r>
        <w:rPr/>
        <w:t>) consists of stakeholder groups who collectively have shared responsibility to achieve the </w:t>
      </w:r>
      <w:r>
        <w:rPr>
          <w:i/>
        </w:rPr>
        <w:t>Our Way </w:t>
      </w:r>
      <w:r>
        <w:rPr/>
        <w:t>objectives. These groups include Aboriginal and Torres Strait Islander peoples, peak bodies, NGOs, the corporate sector, Aboriginal and Torres Strait Islander Community-Controlled Organisations (ACCOs), politicians and both federal and state government agencies. During consultations, stakeholders reiterated that Aboriginal and Torres Strait Islander children are the central focus of the </w:t>
      </w:r>
      <w:r>
        <w:rPr>
          <w:i/>
        </w:rPr>
        <w:t>Our Way </w:t>
      </w:r>
      <w:r>
        <w:rPr/>
        <w:t>system, and their needs should be at the forefront of decision making. Actions undertaken by system stakeholders to work towards the attainment of the </w:t>
      </w:r>
      <w:r>
        <w:rPr>
          <w:i/>
        </w:rPr>
        <w:t>Our Way </w:t>
      </w:r>
      <w:r>
        <w:rPr/>
        <w:t>objectives are influenced by other ongoing strategy and policy work at a national and state level – for example, the National Agreement on Closing the Gap and specific strategies developed by Queensland agencies to improve outcomes of Aboriginal and Torres Strait Islander children. There is opportunity to align these distinct yet inter-related policies to strengthen the whole-of-system approach to implementing </w:t>
      </w:r>
      <w:r>
        <w:rPr>
          <w:i/>
        </w:rPr>
        <w:t>Our Way</w:t>
      </w:r>
      <w:r>
        <w:rPr/>
        <w:t>.</w:t>
      </w:r>
    </w:p>
    <w:p>
      <w:pPr>
        <w:spacing w:after="0" w:line="264" w:lineRule="auto"/>
        <w:sectPr>
          <w:pgSz w:w="11910" w:h="16840"/>
          <w:pgMar w:header="650" w:footer="420" w:top="840" w:bottom="620" w:left="740" w:right="720"/>
        </w:sectPr>
      </w:pPr>
    </w:p>
    <w:p>
      <w:pPr>
        <w:pStyle w:val="BodyText"/>
        <w:rPr>
          <w:sz w:val="20"/>
        </w:rPr>
      </w:pPr>
    </w:p>
    <w:p>
      <w:pPr>
        <w:pStyle w:val="BodyText"/>
        <w:rPr>
          <w:sz w:val="23"/>
        </w:rPr>
      </w:pPr>
    </w:p>
    <w:p>
      <w:pPr>
        <w:spacing w:before="101"/>
        <w:ind w:left="700" w:right="0" w:firstLine="0"/>
        <w:jc w:val="left"/>
        <w:rPr>
          <w:sz w:val="17"/>
        </w:rPr>
      </w:pPr>
      <w:r>
        <w:rPr>
          <w:color w:val="75787A"/>
          <w:sz w:val="17"/>
        </w:rPr>
        <w:t>Figure iii </w:t>
      </w:r>
      <w:bookmarkStart w:name="_bookmark9" w:id="10"/>
      <w:bookmarkEnd w:id="10"/>
      <w:r>
        <w:rPr>
          <w:color w:val="75787A"/>
          <w:sz w:val="17"/>
        </w:rPr>
        <w:t>V</w:t>
      </w:r>
      <w:r>
        <w:rPr>
          <w:color w:val="75787A"/>
          <w:sz w:val="17"/>
        </w:rPr>
        <w:t>isual representation of the </w:t>
      </w:r>
      <w:r>
        <w:rPr>
          <w:i/>
          <w:color w:val="75787A"/>
          <w:sz w:val="17"/>
        </w:rPr>
        <w:t>Our Way </w:t>
      </w:r>
      <w:r>
        <w:rPr>
          <w:color w:val="75787A"/>
          <w:sz w:val="17"/>
        </w:rPr>
        <w:t>system</w:t>
      </w:r>
    </w:p>
    <w:p>
      <w:pPr>
        <w:pStyle w:val="BodyText"/>
        <w:spacing w:before="7"/>
        <w:rPr>
          <w:sz w:val="16"/>
        </w:rPr>
      </w:pPr>
      <w:r>
        <w:rPr/>
        <w:pict>
          <v:group style="position:absolute;margin-left:72.070114pt;margin-top:12.058863pt;width:440.85pt;height:419.2pt;mso-position-horizontal-relative:page;mso-position-vertical-relative:paragraph;z-index:-251600896;mso-wrap-distance-left:0;mso-wrap-distance-right:0" coordorigin="1441,241" coordsize="8817,8384">
            <v:rect style="position:absolute;left:4372;top:3712;width:91;height:60" filled="true" fillcolor="#fbb324" stroked="false">
              <v:fill type="solid"/>
            </v:rect>
            <v:rect style="position:absolute;left:4202;top:3712;width:89;height:60" filled="true" fillcolor="#fbb324" stroked="false">
              <v:fill type="solid"/>
            </v:rect>
            <v:shape style="position:absolute;left:4400;top:3600;width:34;height:31" coordorigin="4401,3601" coordsize="34,31" path="m4427,3601l4409,3601,4401,3608,4401,3625,4409,3632,4427,3632,4434,3625,4434,3608,4427,3601xe" filled="true" fillcolor="#fbb324" stroked="false">
              <v:path arrowok="t"/>
              <v:fill type="solid"/>
            </v:shape>
            <v:shape style="position:absolute;left:4231;top:3600;width:31;height:31" coordorigin="4231,3601" coordsize="31,31" path="m4255,3601l4239,3601,4231,3608,4231,3625,4239,3632,4255,3632,4262,3625,4262,3608,4255,3601xe" filled="true" fillcolor="#fbb324" stroked="false">
              <v:path arrowok="t"/>
              <v:fill type="solid"/>
            </v:shape>
            <v:shape style="position:absolute;left:3981;top:3427;width:702;height:680" coordorigin="3981,3427" coordsize="702,680" path="m4332,3427l4262,3434,4196,3454,4136,3486,4084,3527,4041,3577,4009,3635,3988,3698,3981,3767,3990,3845,4017,3916,4058,3979,4112,4032,4177,4073,4251,4098,4331,4107,4411,4098,4485,4073,4550,4033,4605,3980,4619,3959,4154,3959,4149,3954,4149,3793,4139,3793,4135,3788,4135,3774,4139,3769,4177,3769,4177,3691,4182,3686,4671,3686,4662,3656,4247,3656,4231,3653,4218,3645,4209,3632,4206,3617,4209,3602,4218,3589,4231,3580,4247,3577,4623,3577,4580,3527,4528,3486,4469,3454,4403,3434,4332,3427xm4671,3686l4481,3686,4486,3691,4486,3769,4523,3769,4528,3774,4528,3788,4524,3793,4514,3793,4514,3954,4509,3959,4619,3959,4646,3917,4673,3846,4682,3769,4682,3767,4675,3699,4671,3686xm4352,3686l4310,3686,4315,3691,4315,3769,4347,3769,4347,3691,4352,3686xm4418,3577l4247,3577,4263,3580,4276,3589,4285,3602,4288,3617,4285,3632,4276,3645,4263,3653,4247,3656,4418,3656,4402,3653,4389,3645,4380,3632,4377,3617,4380,3602,4389,3589,4402,3580,4418,3577xm4623,3577l4418,3577,4433,3580,4446,3589,4455,3602,4458,3617,4455,3632,4446,3645,4433,3653,4418,3656,4662,3656,4655,3635,4623,3577,4623,3577xe" filled="true" fillcolor="#fbb324" stroked="false">
              <v:path arrowok="t"/>
              <v:fill type="solid"/>
            </v:shape>
            <v:rect style="position:absolute;left:4174;top:3793;width:315;height:143" filled="true" fillcolor="#fbb324" stroked="false">
              <v:fill type="solid"/>
            </v:rect>
            <v:rect style="position:absolute;left:4486;top:2326;width:89;height:58" filled="true" fillcolor="#fbb324" stroked="false">
              <v:fill type="solid"/>
            </v:rect>
            <v:rect style="position:absolute;left:4314;top:2326;width:91;height:58" filled="true" fillcolor="#fbb324" stroked="false">
              <v:fill type="solid"/>
            </v:rect>
            <v:shape style="position:absolute;left:4515;top:2214;width:31;height:31" coordorigin="4515,2215" coordsize="31,31" path="m4539,2215l4522,2215,4515,2222,4515,2239,4522,2246,4539,2246,4546,2239,4546,2222,4539,2215xe" filled="true" fillcolor="#fbb324" stroked="false">
              <v:path arrowok="t"/>
              <v:fill type="solid"/>
            </v:shape>
            <v:shape style="position:absolute;left:4343;top:2214;width:34;height:31" coordorigin="4344,2215" coordsize="34,31" path="m4369,2215l4351,2215,4344,2222,4344,2239,4351,2246,4369,2246,4377,2239,4377,2222,4369,2215xe" filled="true" fillcolor="#fbb324" stroked="false">
              <v:path arrowok="t"/>
              <v:fill type="solid"/>
            </v:shape>
            <v:shape style="position:absolute;left:4093;top:2041;width:704;height:680" coordorigin="4093,2041" coordsize="704,680" path="m4446,2041l4375,2048,4308,2068,4248,2099,4196,2141,4153,2191,4121,2249,4100,2312,4093,2381,4100,2449,4121,2513,4153,2571,4196,2621,4248,2663,4308,2694,4374,2714,4444,2721,4515,2714,4581,2695,4641,2663,4693,2622,4735,2572,4267,2572,4262,2568,4262,2407,4252,2407,4247,2402,4247,2388,4252,2383,4289,2383,4289,2305,4294,2300,4786,2300,4776,2270,4360,2270,4344,2267,4331,2259,4322,2246,4319,2231,4322,2215,4331,2203,4344,2194,4360,2191,4737,2191,4694,2141,4642,2099,4583,2068,4517,2048,4446,2041xm4786,2300l4595,2300,4600,2305,4600,2383,4637,2383,4642,2388,4642,2402,4638,2407,4628,2407,4628,2568,4623,2572,4735,2572,4736,2571,4769,2514,4790,2450,4797,2383,4797,2381,4790,2313,4786,2300xm4466,2300l4423,2300,4428,2305,4428,2383,4461,2383,4461,2305,4466,2300xm4531,2191l4360,2191,4376,2194,4389,2203,4398,2215,4401,2231,4398,2246,4389,2259,4376,2267,4360,2270,4531,2270,4515,2267,4502,2259,4493,2246,4490,2231,4493,2215,4502,2203,4515,2194,4531,2191xm4737,2191l4531,2191,4547,2194,4560,2203,4569,2215,4572,2231,4569,2246,4560,2259,4547,2267,4531,2270,4776,2270,4769,2249,4737,2191,4737,2191xe" filled="true" fillcolor="#fbb324" stroked="false">
              <v:path arrowok="t"/>
              <v:fill type="solid"/>
            </v:shape>
            <v:rect style="position:absolute;left:4286;top:2407;width:318;height:143" filled="true" fillcolor="#fbb324" stroked="false">
              <v:fill type="solid"/>
            </v:rect>
            <v:rect style="position:absolute;left:4779;top:800;width:89;height:58" filled="true" fillcolor="#fbb324" stroked="false">
              <v:fill type="solid"/>
            </v:rect>
            <v:rect style="position:absolute;left:4608;top:800;width:91;height:58" filled="true" fillcolor="#fbb324" stroked="false">
              <v:fill type="solid"/>
            </v:rect>
            <v:shape style="position:absolute;left:4808;top:688;width:31;height:31" coordorigin="4809,688" coordsize="31,31" path="m4832,688l4816,688,4809,696,4809,712,4816,719,4832,719,4840,712,4840,696,4832,688xe" filled="true" fillcolor="#fbb324" stroked="false">
              <v:path arrowok="t"/>
              <v:fill type="solid"/>
            </v:shape>
            <v:shape style="position:absolute;left:4636;top:688;width:34;height:31" coordorigin="4637,688" coordsize="34,31" path="m4663,688l4645,688,4637,696,4637,712,4645,719,4663,719,4670,712,4670,696,4663,688xe" filled="true" fillcolor="#fbb324" stroked="false">
              <v:path arrowok="t"/>
              <v:fill type="solid"/>
            </v:shape>
            <v:shape style="position:absolute;left:4386;top:514;width:704;height:680" coordorigin="4386,515" coordsize="704,680" path="m4739,515l4668,522,4602,542,4542,573,4490,614,4447,665,4414,722,4394,786,4386,854,4394,923,4414,986,4447,1044,4489,1095,4541,1136,4601,1168,4667,1188,4738,1195,4808,1188,4874,1168,4934,1137,4986,1095,5029,1046,4560,1046,4555,1041,4555,881,4545,881,4540,876,4540,861,4545,857,4583,857,4583,779,4588,774,5079,774,5069,744,4653,744,4637,741,4624,732,4616,720,4612,704,4616,689,4624,676,4637,668,4653,665,5030,665,4988,615,4936,573,4876,542,4810,522,4739,515xm5079,774l4888,774,4893,779,4893,857,4930,857,4935,861,4935,876,4931,881,4921,881,4921,1041,4916,1046,5029,1046,5030,1045,5062,987,5083,924,5090,857,5090,854,5083,787,5079,774xm4759,774l4717,774,4722,779,4722,857,4754,857,4754,779,4759,774xm4824,665l4653,665,4669,668,4682,676,4691,689,4694,704,4691,720,4682,732,4669,741,4653,744,4824,744,4809,741,4796,732,4787,720,4784,704,4787,689,4796,676,4809,668,4824,665xm5030,665l4824,665,4840,668,4853,676,4862,689,4865,704,4862,720,4853,732,4840,741,4824,744,5069,744,5063,723,5030,665,5030,665xe" filled="true" fillcolor="#fbb324" stroked="false">
              <v:path arrowok="t"/>
              <v:fill type="solid"/>
            </v:shape>
            <v:rect style="position:absolute;left:4579;top:881;width:318;height:143" filled="true" fillcolor="#fbb324" stroked="false">
              <v:fill type="solid"/>
            </v:rect>
            <v:rect style="position:absolute;left:2569;top:2626;width:89;height:60" filled="true" fillcolor="#fbb324" stroked="false">
              <v:fill type="solid"/>
            </v:rect>
            <v:rect style="position:absolute;left:2397;top:2626;width:89;height:60" filled="true" fillcolor="#fbb324" stroked="false">
              <v:fill type="solid"/>
            </v:rect>
            <v:shape style="position:absolute;left:2598;top:2516;width:31;height:31" coordorigin="2598,2517" coordsize="31,31" path="m2622,2517l2605,2517,2598,2524,2598,2541,2605,2548,2622,2548,2629,2541,2629,2524,2622,2517xe" filled="true" fillcolor="#fbb324" stroked="false">
              <v:path arrowok="t"/>
              <v:fill type="solid"/>
            </v:shape>
            <v:shape style="position:absolute;left:2426;top:2516;width:31;height:31" coordorigin="2427,2517" coordsize="31,31" path="m2450,2517l2434,2517,2427,2524,2427,2541,2434,2548,2450,2548,2458,2541,2458,2524,2450,2517xe" filled="true" fillcolor="#fbb324" stroked="false">
              <v:path arrowok="t"/>
              <v:fill type="solid"/>
            </v:shape>
            <v:shape style="position:absolute;left:2176;top:2343;width:701;height:680" coordorigin="2176,2343" coordsize="701,680" path="m2527,2343l2456,2350,2390,2370,2331,2401,2279,2443,2236,2493,2204,2551,2183,2614,2176,2683,2185,2760,2212,2832,2253,2895,2307,2948,2372,2988,2446,3014,2526,3023,2606,3014,2680,2989,2745,2949,2800,2896,2814,2874,2349,2874,2344,2870,2344,2709,2334,2709,2329,2704,2329,2690,2334,2685,2371,2685,2371,2607,2376,2602,2866,2602,2857,2572,2442,2572,2426,2569,2413,2561,2404,2548,2401,2533,2404,2517,2413,2505,2426,2496,2442,2493,2817,2493,2775,2443,2723,2401,2664,2370,2598,2350,2527,2343xm2866,2602l2676,2602,2681,2607,2681,2685,2718,2685,2723,2690,2723,2704,2719,2709,2709,2709,2709,2870,2704,2874,2814,2874,2841,2833,2868,2762,2877,2685,2877,2683,2870,2615,2866,2602xm2547,2602l2505,2602,2510,2607,2510,2685,2542,2685,2542,2607,2547,2602xm2613,2493l2442,2493,2458,2496,2471,2505,2480,2517,2483,2533,2480,2548,2471,2561,2458,2569,2442,2572,2613,2572,2597,2569,2584,2561,2575,2548,2572,2533,2575,2517,2584,2505,2597,2496,2613,2493xm2817,2493l2613,2493,2628,2496,2641,2505,2650,2517,2653,2533,2650,2548,2641,2561,2628,2569,2613,2572,2857,2572,2850,2551,2818,2493,2817,2493xe" filled="true" fillcolor="#fbb324" stroked="false">
              <v:path arrowok="t"/>
              <v:fill type="solid"/>
            </v:shape>
            <v:rect style="position:absolute;left:2369;top:2709;width:315;height:141" filled="true" fillcolor="#fbb324" stroked="false">
              <v:fill type="solid"/>
            </v:rect>
            <v:rect style="position:absolute;left:2269;top:5438;width:91;height:60" filled="true" fillcolor="#fbb324" stroked="false">
              <v:fill type="solid"/>
            </v:rect>
            <v:rect style="position:absolute;left:2099;top:5438;width:89;height:60" filled="true" fillcolor="#fbb324" stroked="false">
              <v:fill type="solid"/>
            </v:rect>
            <v:shape style="position:absolute;left:2297;top:5327;width:34;height:34" coordorigin="2298,5327" coordsize="34,34" path="m2323,5327l2305,5327,2298,5335,2298,5353,2305,5360,2323,5360,2331,5353,2331,5335,2323,5327xe" filled="true" fillcolor="#fbb324" stroked="false">
              <v:path arrowok="t"/>
              <v:fill type="solid"/>
            </v:shape>
            <v:shape style="position:absolute;left:2128;top:5327;width:31;height:34" coordorigin="2128,5327" coordsize="31,34" path="m2152,5327l2136,5327,2128,5335,2128,5353,2136,5360,2152,5360,2159,5353,2159,5335,2152,5327xe" filled="true" fillcolor="#fbb324" stroked="false">
              <v:path arrowok="t"/>
              <v:fill type="solid"/>
            </v:shape>
            <v:shape style="position:absolute;left:1878;top:5153;width:701;height:683" coordorigin="1878,5154" coordsize="701,683" path="m2229,5154l2158,5160,2092,5180,2033,5212,1981,5253,1938,5304,1906,5362,1885,5426,1878,5494,1885,5563,1906,5627,1938,5685,1981,5735,2032,5777,2092,5809,2158,5829,2228,5836,2298,5829,2364,5809,2424,5778,2476,5736,2518,5687,2051,5687,2046,5682,2046,5520,2036,5520,2031,5516,2031,5501,2036,5497,2073,5497,2073,5418,2078,5413,2568,5413,2558,5383,2144,5383,2128,5380,2115,5372,2106,5359,2103,5344,2106,5328,2115,5316,2128,5307,2144,5304,2519,5304,2477,5254,2425,5212,2366,5180,2300,5160,2229,5154xm2568,5413l2378,5413,2383,5418,2383,5497,2420,5497,2425,5501,2425,5516,2421,5520,2411,5520,2411,5682,2406,5687,2518,5687,2519,5686,2551,5628,2572,5564,2579,5497,2579,5494,2572,5426,2568,5413xm2249,5413l2207,5413,2212,5418,2212,5497,2244,5497,2244,5418,2249,5413xm2315,5304l2144,5304,2160,5307,2173,5316,2181,5328,2185,5344,2181,5359,2173,5372,2160,5380,2144,5383,2315,5383,2299,5380,2286,5372,2277,5359,2274,5344,2277,5328,2286,5316,2299,5307,2315,5304xm2519,5304l2315,5304,2330,5307,2343,5316,2352,5328,2355,5344,2352,5359,2343,5372,2330,5380,2315,5383,2558,5383,2552,5362,2520,5304,2519,5304xe" filled="true" fillcolor="#fbb324" stroked="false">
              <v:path arrowok="t"/>
              <v:fill type="solid"/>
            </v:shape>
            <v:rect style="position:absolute;left:2071;top:5519;width:315;height:143" filled="true" fillcolor="#fbb324" stroked="false">
              <v:fill type="solid"/>
            </v:rect>
            <v:rect style="position:absolute;left:4493;top:5101;width:89;height:58" filled="true" fillcolor="#fbb324" stroked="false">
              <v:fill type="solid"/>
            </v:rect>
            <v:rect style="position:absolute;left:4322;top:5101;width:91;height:58" filled="true" fillcolor="#fbb324" stroked="false">
              <v:fill type="solid"/>
            </v:rect>
            <v:shape style="position:absolute;left:4522;top:4989;width:31;height:31" coordorigin="4522,4989" coordsize="31,31" path="m4546,4989l4530,4989,4522,4997,4522,5013,4530,5020,4546,5020,4553,5013,4553,4997,4546,4989xe" filled="true" fillcolor="#fbb324" stroked="false">
              <v:path arrowok="t"/>
              <v:fill type="solid"/>
            </v:shape>
            <v:shape style="position:absolute;left:4350;top:4989;width:34;height:31" coordorigin="4351,4989" coordsize="34,31" path="m4377,4989l4358,4989,4351,4997,4351,5013,4358,5020,4377,5020,4384,5013,4384,4997,4377,4989xe" filled="true" fillcolor="#fbb324" stroked="false">
              <v:path arrowok="t"/>
              <v:fill type="solid"/>
            </v:shape>
            <v:shape style="position:absolute;left:4100;top:4815;width:704;height:680" coordorigin="4100,4816" coordsize="704,680" path="m4453,4816l4382,4823,4316,4843,4256,4874,4204,4915,4160,4966,4128,5023,4107,5087,4100,5155,4107,5224,4128,5287,4160,5345,4203,5396,4255,5437,4315,5469,4381,5489,4451,5496,4522,5489,4588,5469,4648,5438,4700,5396,4743,5347,4274,5347,4269,5342,4269,5182,4259,5182,4254,5177,4254,5162,4259,5158,4296,5158,4296,5080,4301,5075,4793,5075,4783,5045,4367,5045,4351,5042,4338,5033,4330,5021,4326,5005,4330,4990,4338,4977,4351,4969,4367,4966,4744,4966,4701,4916,4650,4874,4590,4843,4524,4823,4453,4816xm4793,5075l4602,5075,4607,5080,4607,5158,4644,5158,4649,5162,4649,5177,4645,5182,4635,5182,4635,5342,4630,5347,4743,5347,4743,5346,4776,5288,4797,5225,4804,5158,4804,5155,4797,5088,4793,5075xm4473,5075l4430,5075,4435,5080,4435,5158,4468,5158,4468,5080,4473,5075xm4538,4966l4367,4966,4383,4969,4396,4977,4405,4990,4408,5005,4405,5021,4396,5033,4383,5042,4367,5045,4538,5045,4523,5042,4509,5033,4501,5021,4497,5005,4501,4990,4509,4977,4523,4969,4538,4966xm4744,4966l4538,4966,4554,4969,4567,4977,4576,4990,4579,5005,4576,5021,4567,5033,4554,5042,4538,5045,4783,5045,4777,5024,4744,4966,4744,4966xe" filled="true" fillcolor="#fbb324" stroked="false">
              <v:path arrowok="t"/>
              <v:fill type="solid"/>
            </v:shape>
            <v:rect style="position:absolute;left:4293;top:5182;width:318;height:143" filled="true" fillcolor="#fbb324" stroked="false">
              <v:fill type="solid"/>
            </v:rect>
            <v:rect style="position:absolute;left:3435;top:3028;width:91;height:60" filled="true" fillcolor="#fbb324" stroked="false">
              <v:fill type="solid"/>
            </v:rect>
            <v:rect style="position:absolute;left:3265;top:3028;width:89;height:60" filled="true" fillcolor="#fbb324" stroked="false">
              <v:fill type="solid"/>
            </v:rect>
            <v:shape style="position:absolute;left:3463;top:2918;width:34;height:31" coordorigin="3464,2919" coordsize="34,31" path="m3490,2919l3471,2919,3464,2926,3464,2942,3471,2950,3490,2950,3497,2942,3497,2926,3490,2919xe" filled="true" fillcolor="#fbb324" stroked="false">
              <v:path arrowok="t"/>
              <v:fill type="solid"/>
            </v:shape>
            <v:shape style="position:absolute;left:3294;top:2918;width:31;height:31" coordorigin="3294,2919" coordsize="31,31" path="m3318,2919l3302,2919,3294,2926,3294,2942,3302,2950,3318,2950,3325,2942,3325,2926,3318,2919xe" filled="true" fillcolor="#fbb324" stroked="false">
              <v:path arrowok="t"/>
              <v:fill type="solid"/>
            </v:shape>
            <v:shape style="position:absolute;left:3044;top:2745;width:702;height:680" coordorigin="3044,2745" coordsize="702,680" path="m3395,2745l3324,2752,3258,2772,3199,2803,3147,2845,3104,2895,3072,2952,3051,3016,3044,3084,3053,3162,3080,3234,3121,3297,3175,3350,3240,3390,3314,3416,3394,3425,3474,3416,3548,3390,3613,3350,3668,3298,3682,3276,3217,3276,3212,3271,3212,3111,3202,3111,3197,3106,3197,3092,3202,3087,3239,3087,3239,3009,3244,3004,3734,3004,3725,2974,3310,2974,3294,2971,3281,2962,3272,2950,3269,2934,3272,2919,3281,2907,3294,2898,3310,2895,3685,2895,3643,2845,3591,2803,3532,2772,3466,2752,3395,2745xm3734,3004l3544,3004,3549,3009,3549,3087,3586,3087,3591,3092,3591,3106,3587,3111,3577,3111,3577,3271,3572,3276,3682,3276,3709,3235,3736,3163,3745,3087,3745,3084,3738,3017,3734,3004xm3415,3004l3373,3004,3378,3009,3378,3087,3410,3087,3410,3009,3415,3004xm3481,2895l3310,2895,3326,2898,3339,2907,3347,2919,3351,2934,3347,2950,3339,2962,3326,2971,3310,2974,3481,2974,3465,2971,3452,2962,3443,2950,3440,2934,3443,2919,3452,2907,3465,2898,3481,2895xm3685,2895l3481,2895,3496,2898,3509,2907,3518,2919,3521,2934,3518,2950,3509,2962,3496,2971,3481,2974,3725,2974,3718,2953,3686,2895,3685,2895xe" filled="true" fillcolor="#fbb324" stroked="false">
              <v:path arrowok="t"/>
              <v:fill type="solid"/>
            </v:shape>
            <v:rect style="position:absolute;left:3237;top:3111;width:315;height:141" filled="true" fillcolor="#fbb324" stroked="false">
              <v:fill type="solid"/>
            </v:rect>
            <v:rect style="position:absolute;left:4949;top:6247;width:89;height:60" filled="true" fillcolor="#fbb324" stroked="false">
              <v:fill type="solid"/>
            </v:rect>
            <v:rect style="position:absolute;left:4777;top:6247;width:91;height:60" filled="true" fillcolor="#fbb324" stroked="false">
              <v:fill type="solid"/>
            </v:rect>
            <v:shape style="position:absolute;left:4977;top:6137;width:31;height:31" coordorigin="4978,6138" coordsize="31,31" path="m5002,6138l4985,6138,4978,6145,4978,6162,4985,6169,5002,6169,5009,6162,5009,6145,5002,6138xe" filled="true" fillcolor="#fbb324" stroked="false">
              <v:path arrowok="t"/>
              <v:fill type="solid"/>
            </v:shape>
            <v:shape style="position:absolute;left:4806;top:6137;width:34;height:31" coordorigin="4806,6138" coordsize="34,31" path="m4832,6138l4814,6138,4806,6145,4806,6162,4814,6169,4832,6169,4840,6162,4840,6145,4832,6138xe" filled="true" fillcolor="#fbb324" stroked="false">
              <v:path arrowok="t"/>
              <v:fill type="solid"/>
            </v:shape>
            <v:shape style="position:absolute;left:4555;top:5964;width:704;height:680" coordorigin="4556,5964" coordsize="704,680" path="m4908,5964l4837,5971,4771,5991,4711,6022,4659,6064,4616,6114,4583,6172,4563,6235,4556,6304,4563,6372,4583,6436,4616,6494,4659,6544,4711,6586,4770,6617,4836,6637,4907,6644,4978,6637,5044,6618,5104,6586,5156,6545,5198,6495,4730,6495,4725,6491,4725,6330,4715,6330,4710,6325,4710,6311,4715,6306,4752,6306,4752,6228,4757,6223,5248,6223,5239,6193,4823,6193,4807,6190,4794,6182,4785,6169,4782,6154,4785,6138,4794,6126,4807,6117,4823,6114,5199,6114,5157,6064,5105,6022,5045,5991,4979,5971,4908,5964xm5248,6223l5057,6223,5062,6228,5062,6306,5099,6306,5104,6311,5104,6325,5100,6330,5091,6330,5091,6491,5086,6495,5198,6495,5199,6494,5232,6437,5252,6373,5259,6306,5259,6304,5252,6236,5248,6223xm4928,6223l4886,6223,4891,6228,4891,6306,4923,6306,4923,6228,4928,6223xm4994,6114l4823,6114,4838,6117,4851,6126,4860,6138,4864,6154,4860,6169,4851,6182,4838,6190,4823,6193,4994,6193,4978,6190,4965,6182,4956,6169,4953,6154,4956,6138,4965,6126,4978,6117,4994,6114xm5199,6114l4994,6114,5010,6117,5023,6126,5031,6138,5035,6154,5031,6169,5023,6182,5010,6190,4994,6193,5239,6193,5232,6172,5200,6114,5199,6114xe" filled="true" fillcolor="#fbb324" stroked="false">
              <v:path arrowok="t"/>
              <v:fill type="solid"/>
            </v:shape>
            <v:rect style="position:absolute;left:4748;top:6328;width:318;height:143" filled="true" fillcolor="#fbb324" stroked="false">
              <v:fill type="solid"/>
            </v:rect>
            <v:rect style="position:absolute;left:9260;top:2982;width:58;height:77" filled="true" fillcolor="#f05b2c" stroked="false">
              <v:fill type="solid"/>
            </v:rect>
            <v:shape style="position:absolute;left:9274;top:2878;width:29;height:27" coordorigin="9275,2878" coordsize="29,27" path="m9297,2878l9281,2878,9275,2884,9275,2898,9281,2904,9297,2904,9304,2898,9304,2884,9297,2878xe" filled="true" fillcolor="#f05b2c" stroked="false">
              <v:path arrowok="t"/>
              <v:fill type="solid"/>
            </v:shape>
            <v:shape style="position:absolute;left:8938;top:2704;width:699;height:680" coordorigin="8939,2705" coordsize="699,680" path="m9288,2705l9208,2714,9134,2739,9069,2779,9015,2832,8974,2895,8948,2967,8939,3045,8948,3122,8974,3194,9015,3257,9070,3310,9134,3350,9208,3376,9288,3385,9368,3376,9441,3350,9506,3310,9561,3257,9586,3218,9134,3218,9129,3213,9129,3130,9124,3129,9119,3124,9119,3043,9124,3038,9235,3038,9235,3028,9160,3028,9148,3025,9139,3019,9132,3010,9130,2999,9132,2988,9139,2979,9148,2972,9160,2970,9235,2970,9235,2963,9240,2958,9625,2958,9614,2928,9289,2928,9274,2925,9262,2917,9254,2905,9251,2891,9254,2876,9262,2865,9274,2857,9289,2854,9575,2854,9561,2832,9507,2779,9442,2739,9368,2714,9288,2705xm9165,3130l9153,3130,9153,3213,9149,3218,9169,3218,9165,3213,9165,3130xm9235,3038l9193,3038,9198,3043,9198,3118,9199,3118,9199,3124,9196,3129,9189,3130,9189,3213,9184,3218,9255,3218,9250,3213,9250,3084,9240,3084,9235,3080,9235,3038xm9304,3084l9274,3084,9274,3213,9269,3218,9309,3218,9304,3213,9304,3084xm9625,2958l9339,2958,9344,2963,9344,3080,9339,3084,9329,3084,9329,3213,9324,3218,9392,3218,9387,3213,9387,3144,9384,3143,9382,3143,9381,3141,9378,3138,9377,3135,9378,3131,9395,3047,9397,3041,9402,3037,9637,3037,9635,3028,9416,3028,9405,3025,9396,3019,9389,3010,9387,2999,9389,2988,9396,2979,9405,2972,9416,2970,9629,2970,9628,2967,9625,2958xm9423,3145l9412,3145,9412,3213,9407,3218,9427,3218,9423,3213,9423,3145xm9637,3037l9431,3037,9436,3041,9437,3047,9456,3131,9456,3138,9453,3141,9452,3143,9450,3143,9447,3144,9447,3213,9442,3218,9586,3218,9602,3194,9628,3122,9637,3045,9637,3037xm9235,2970l9160,2970,9171,2972,9180,2979,9187,2988,9189,2999,9187,3010,9180,3019,9171,3025,9160,3028,9235,3028,9235,2970xm9629,2970l9416,2970,9428,2972,9437,2979,9444,2988,9446,2999,9444,3010,9437,3019,9428,3025,9416,3028,9635,3028,9629,2970xm9575,2854l9289,2854,9304,2857,9316,2865,9324,2876,9327,2891,9324,2905,9316,2917,9304,2925,9289,2928,9614,2928,9602,2895,9575,2854xe" filled="true" fillcolor="#f05b2c" stroked="false">
              <v:path arrowok="t"/>
              <v:fill type="solid"/>
            </v:shape>
            <v:rect style="position:absolute;left:8332;top:1717;width:60;height:77" filled="true" fillcolor="#f05b2c" stroked="false">
              <v:fill type="solid"/>
            </v:rect>
            <v:shape style="position:absolute;left:8349;top:1613;width:27;height:27" coordorigin="8350,1613" coordsize="27,27" path="m8370,1613l8356,1613,8350,1619,8350,1634,8356,1639,8370,1639,8376,1634,8376,1619,8370,1613xe" filled="true" fillcolor="#f05b2c" stroked="false">
              <v:path arrowok="t"/>
              <v:fill type="solid"/>
            </v:shape>
            <v:shape style="position:absolute;left:8010;top:1439;width:702;height:680" coordorigin="8011,1440" coordsize="702,680" path="m8362,1440l8291,1447,8225,1467,8165,1498,8113,1539,8071,1590,8038,1648,8018,1711,8011,1780,8020,1858,8047,1929,8088,1992,8142,2045,8208,2085,8281,2111,8362,2120,8442,2111,8516,2085,8581,2045,8635,1992,8661,1953,8207,1953,8202,1948,8202,1865,8197,1864,8192,1859,8192,1779,8197,1774,8308,1774,8308,1763,8233,1763,8221,1761,8212,1754,8206,1745,8203,1734,8206,1723,8212,1714,8221,1708,8233,1705,8308,1705,8308,1698,8313,1693,8699,1693,8690,1663,8363,1663,8348,1660,8336,1652,8328,1640,8325,1626,8328,1612,8336,1600,8348,1592,8363,1589,8652,1589,8610,1539,8558,1498,8498,1467,8432,1447,8362,1440xm8238,1865l8227,1865,8227,1948,8222,1953,8243,1953,8238,1948,8238,1865xm8308,1774l8266,1774,8271,1779,8271,1853,8272,1853,8272,1859,8269,1864,8263,1865,8263,1948,8258,1953,8328,1953,8323,1948,8323,1819,8313,1819,8308,1815,8308,1774xm8378,1819l8348,1819,8348,1948,8343,1953,8383,1953,8378,1948,8378,1819xm8699,1693l8412,1693,8417,1698,8417,1815,8412,1819,8402,1819,8402,1948,8397,1953,8466,1953,8461,1948,8461,1879,8458,1878,8456,1878,8455,1876,8452,1873,8451,1870,8452,1866,8469,1782,8471,1776,8476,1772,8711,1772,8710,1763,8490,1763,8479,1761,8470,1754,8463,1745,8461,1734,8463,1723,8470,1714,8479,1708,8490,1705,8703,1705,8699,1693xm8497,1881l8486,1881,8486,1948,8481,1953,8502,1953,8497,1948,8497,1881xm8711,1772l8505,1772,8510,1776,8512,1782,8530,1866,8530,1873,8528,1876,8526,1878,8524,1878,8521,1879,8521,1948,8517,1953,8661,1953,8677,1929,8703,1858,8712,1780,8711,1772xm8308,1705l8233,1705,8244,1708,8254,1714,8260,1723,8263,1734,8260,1745,8254,1754,8244,1761,8233,1763,8308,1763,8308,1705xm8703,1705l8490,1705,8502,1708,8511,1714,8518,1723,8520,1734,8518,1745,8511,1754,8502,1761,8490,1763,8710,1763,8705,1711,8703,1705xm8652,1589l8363,1589,8378,1592,8390,1600,8398,1612,8401,1626,8398,1640,8390,1652,8378,1660,8363,1663,8690,1663,8685,1648,8653,1590,8652,1589xe" filled="true" fillcolor="#f05b2c" stroked="false">
              <v:path arrowok="t"/>
              <v:fill type="solid"/>
            </v:shape>
            <v:rect style="position:absolute;left:8580;top:4918;width:58;height:79" filled="true" fillcolor="#f05b2c" stroked="false">
              <v:fill type="solid"/>
            </v:rect>
            <v:shape style="position:absolute;left:8595;top:4813;width:29;height:29" coordorigin="8595,4814" coordsize="29,29" path="m8617,4814l8602,4814,8595,4820,8595,4836,8602,4842,8617,4842,8624,4836,8624,4820,8617,4814xe" filled="true" fillcolor="#f05b2c" stroked="false">
              <v:path arrowok="t"/>
              <v:fill type="solid"/>
            </v:shape>
            <v:shape style="position:absolute;left:8258;top:4642;width:699;height:678" coordorigin="8259,4642" coordsize="699,678" path="m8608,4642l8528,4651,8454,4677,8389,4717,8335,4769,8294,4832,8268,4904,8259,4981,8268,5059,8295,5130,8336,5193,8390,5245,8455,5285,8528,5311,8608,5320,8688,5311,8762,5285,8827,5245,8881,5193,8907,5154,8454,5154,8449,5149,8449,5066,8444,5065,8439,5060,8439,4980,8444,4975,8555,4975,8555,4964,8480,4964,8469,4962,8459,4956,8453,4947,8450,4936,8453,4925,8459,4915,8469,4909,8480,4907,8555,4907,8555,4900,8560,4895,8946,4895,8935,4865,8610,4865,8595,4862,8583,4854,8574,4842,8571,4828,8574,4813,8583,4802,8595,4794,8610,4791,8895,4791,8881,4769,8827,4717,8762,4677,8689,4651,8608,4642xm8485,5066l8474,5066,8474,5149,8469,5154,8490,5154,8485,5149,8485,5066xm8555,4975l8513,4975,8518,4980,8518,5054,8519,5054,8519,5060,8516,5065,8510,5066,8510,5149,8505,5154,8575,5154,8570,5149,8570,5021,8560,5021,8555,5016,8555,4975xm8624,5021l8595,5021,8595,5149,8590,5154,8629,5154,8624,5149,8624,5021xm8946,4895l8659,4895,8664,4900,8664,5016,8659,5021,8649,5021,8649,5149,8644,5154,8712,5154,8707,5149,8707,5080,8705,5079,8702,5079,8701,5077,8699,5074,8697,5071,8699,5067,8716,4984,8717,4978,8722,4974,8957,4974,8956,4964,8737,4964,8725,4962,8716,4956,8709,4947,8707,4936,8709,4925,8716,4915,8725,4909,8737,4907,8949,4907,8949,4904,8946,4895xm8743,5082l8732,5082,8732,5149,8727,5154,8748,5154,8743,5149,8743,5082xm8957,4974l8752,4974,8757,4978,8758,4984,8776,5067,8776,5074,8774,5077,8773,5079,8770,5079,8768,5080,8768,5149,8763,5154,8907,5154,8922,5130,8949,5059,8958,4981,8957,4974xm8555,4907l8480,4907,8491,4909,8501,4915,8507,4925,8510,4936,8507,4947,8501,4956,8491,4962,8480,4964,8555,4964,8555,4907xm8949,4907l8737,4907,8748,4909,8758,4915,8764,4925,8766,4936,8764,4947,8758,4956,8748,4962,8737,4964,8956,4964,8949,4907xm8895,4791l8610,4791,8624,4794,8637,4802,8645,4813,8648,4828,8645,4842,8637,4854,8624,4862,8610,4865,8935,4865,8922,4832,8895,4791xe" filled="true" fillcolor="#f05b2c" stroked="false">
              <v:path arrowok="t"/>
              <v:fill type="solid"/>
            </v:shape>
            <v:shape style="position:absolute;left:6780;top:1525;width:702;height:678" coordorigin="6781,1525" coordsize="702,678" path="m7131,1525l7050,1534,6977,1560,6912,1600,6857,1652,6816,1715,6790,1787,6781,1864,6790,1942,6816,2013,6858,2076,6912,2129,6977,2169,7051,2194,7131,2203,7212,2194,7286,2168,7351,2128,7405,2076,7416,2059,7051,2059,7039,2057,7028,2052,6906,1999,6892,1993,6887,1981,6891,1968,6897,1957,6907,1948,6921,1942,6938,1941,7079,1941,7080,1940,7094,1932,7110,1926,7126,1919,7137,1902,7037,1902,7035,1901,7032,1899,6945,1816,6928,1792,6921,1764,6925,1737,6939,1713,6950,1703,6962,1696,6976,1691,6991,1689,7429,1689,7405,1652,7351,1600,7286,1560,7212,1534,7131,1525xm7470,1949l7369,1949,7374,1954,7374,1968,7369,1973,7357,1973,7345,1974,7335,1976,7324,1980,7315,1985,7225,2042,7212,2050,7198,2055,7184,2058,7168,2059,7416,2059,7446,2013,7470,1949xm6923,1965l6916,1972,6915,1976,6914,1978,6917,1979,7038,2032,7046,2035,7054,2037,7168,2037,7179,2036,7190,2033,7201,2029,7212,2023,7215,2021,7058,2021,7051,2011,7049,2008,7047,2003,7046,1998,7046,1992,6934,1966,6923,1965xm7474,1934l7230,1934,7234,1940,7238,1944,7238,1953,7231,1956,7188,1989,7178,1996,7166,2002,7154,2004,7087,2019,7077,2021,7215,2021,7301,1966,7314,1959,7327,1953,7342,1950,7357,1949,7470,1949,7473,1942,7474,1934xm7479,1838l7364,1838,7369,1843,7369,1857,7364,1862,7235,1862,7199,1874,7171,1899,7154,1923,7147,1935,7146,1937,7144,1939,7141,1941,7125,1947,7109,1954,7096,1961,7084,1968,7075,1974,7072,1984,7070,1991,7070,1996,7072,1997,7074,1998,7080,1996,7149,1981,7157,1979,7166,1976,7173,1969,7217,1937,7222,1934,7474,1934,7482,1864,7479,1838xm7079,1941l6939,1941,7052,1967,7056,1960,7062,1953,7068,1948,7079,1941xm7429,1689l7088,1689,7102,1691,7116,1696,7129,1703,7140,1713,7154,1737,7158,1764,7152,1791,7136,1815,7049,1899,7047,1901,7044,1902,7137,1902,7139,1899,7161,1872,7193,1849,7234,1838,7479,1838,7473,1787,7446,1715,7429,1689xm7088,1689l6991,1689,7004,1691,7017,1694,7029,1699,7039,1707,7050,1699,7062,1694,7075,1691,7088,1689xe" filled="true" fillcolor="#ec8a00" stroked="false">
              <v:path arrowok="t"/>
              <v:fill type="solid"/>
            </v:shape>
            <v:rect style="position:absolute;left:7236;top:3261;width:60;height:79" filled="true" fillcolor="#f05b2c" stroked="false">
              <v:fill type="solid"/>
            </v:rect>
            <v:shape style="position:absolute;left:7250;top:3156;width:29;height:27" coordorigin="7250,3156" coordsize="29,27" path="m7273,3156l7257,3156,7250,3162,7250,3177,7257,3183,7273,3183,7279,3177,7279,3162,7273,3156xe" filled="true" fillcolor="#f05b2c" stroked="false">
              <v:path arrowok="t"/>
              <v:fill type="solid"/>
            </v:shape>
            <v:shape style="position:absolute;left:6914;top:2985;width:699;height:678" coordorigin="6914,2985" coordsize="699,678" path="m7263,2985l7183,2994,7109,3020,7045,3060,6991,3112,6949,3175,6923,3246,6914,3324,6923,3402,6950,3473,6991,3536,7045,3588,7110,3628,7183,3654,7263,3663,7343,3654,7417,3628,7482,3588,7536,3536,7562,3496,7109,3496,7104,3492,7104,3409,7099,3408,7094,3403,7094,3323,7099,3318,7210,3318,7210,3307,7135,3307,7124,3305,7114,3299,7108,3290,7105,3278,7108,3267,7114,3258,7124,3252,7135,3250,7210,3250,7210,3243,7215,3238,7601,3238,7590,3208,7265,3208,7250,3205,7238,3197,7230,3185,7226,3171,7230,3156,7238,3145,7250,3137,7265,3134,7550,3134,7536,3112,7482,3060,7418,3020,7344,2994,7263,2985xm7140,3409l7129,3409,7129,3492,7124,3496,7145,3496,7140,3492,7140,3409xm7210,3318l7168,3318,7173,3323,7173,3397,7175,3397,7175,3403,7171,3408,7165,3409,7165,3492,7160,3496,7230,3496,7225,3492,7225,3363,7215,3363,7210,3359,7210,3318xm7280,3363l7250,3363,7250,3492,7245,3496,7284,3496,7280,3492,7280,3363xm7601,3238l7314,3238,7319,3243,7319,3359,7314,3363,7304,3363,7304,3492,7299,3496,7367,3496,7362,3492,7362,3423,7360,3422,7357,3422,7356,3420,7354,3417,7352,3414,7354,3410,7371,3326,7372,3320,7377,3317,7612,3317,7611,3307,7392,3307,7381,3305,7371,3299,7365,3290,7362,3278,7365,3267,7371,3258,7381,3252,7392,3250,7604,3250,7604,3246,7601,3238xm7398,3424l7387,3424,7387,3492,7382,3496,7403,3496,7398,3492,7398,3424xm7612,3317l7407,3317,7412,3320,7413,3326,7431,3410,7431,3417,7429,3420,7428,3422,7425,3422,7423,3423,7423,3492,7418,3496,7562,3496,7577,3473,7604,3402,7613,3324,7612,3317xm7210,3250l7135,3250,7147,3252,7156,3258,7162,3267,7165,3278,7162,3290,7156,3299,7147,3305,7135,3307,7210,3307,7210,3250xm7604,3250l7392,3250,7403,3252,7413,3258,7419,3267,7422,3278,7419,3290,7413,3299,7403,3305,7392,3307,7611,3307,7604,3250xm7550,3134l7265,3134,7280,3137,7292,3145,7300,3156,7303,3171,7300,3185,7292,3197,7280,3205,7265,3208,7590,3208,7578,3175,7550,3134xe" filled="true" fillcolor="#f05b2c" stroked="false">
              <v:path arrowok="t"/>
              <v:fill type="solid"/>
            </v:shape>
            <v:shape style="position:absolute;left:5700;top:2336;width:699;height:680" coordorigin="5700,2336" coordsize="699,680" path="m6050,2336l5969,2345,5896,2371,5831,2411,5777,2464,5736,2527,5710,2598,5700,2676,5710,2754,5736,2826,5777,2889,5831,2942,5896,2982,5970,3007,6050,3016,6130,3007,6204,2981,6269,2941,6323,2889,6334,2872,5970,2872,5958,2869,5812,2806,5807,2794,5810,2781,5816,2769,5826,2760,5840,2754,5857,2753,5997,2753,5999,2752,6013,2744,6029,2738,6045,2731,6055,2715,5956,2715,5954,2713,5951,2711,5865,2628,5848,2603,5841,2576,5844,2549,5859,2525,5869,2514,5882,2507,5895,2502,5910,2501,6347,2501,6323,2464,6269,2411,6204,2371,6130,2345,6050,2336xm6387,2761l6287,2761,6292,2766,6292,2781,6287,2785,6274,2785,6263,2786,6253,2789,6242,2793,6233,2797,6144,2855,6130,2862,6117,2868,6102,2871,6087,2872,6334,2872,6364,2825,6387,2761xm5842,2777l5835,2784,5834,2789,5834,2790,5836,2791,5957,2844,5965,2848,5973,2849,6087,2849,6098,2848,6109,2846,6120,2841,6130,2836,6134,2833,5977,2833,5970,2824,5968,2820,5966,2815,5965,2811,5965,2805,5854,2778,5842,2777xm6391,2746l6148,2746,6152,2752,6156,2757,6156,2765,6150,2769,6097,2808,6084,2814,6072,2817,6005,2831,5995,2833,6134,2833,6219,2778,6232,2771,6245,2766,6260,2762,6274,2761,6387,2761,6390,2754,6391,2746xm6396,2650l6282,2650,6287,2655,6287,2669,6282,2674,6153,2674,6117,2686,6090,2711,6072,2735,6066,2747,6065,2749,6062,2752,6060,2753,6043,2759,6028,2766,6014,2773,6003,2781,5994,2787,5990,2796,5989,2803,5989,2808,5990,2809,5993,2811,5999,2808,6067,2794,6076,2791,6084,2788,6092,2782,6132,2752,6140,2746,6391,2746,6399,2676,6396,2650xm5997,2753l5859,2753,5971,2779,5975,2772,5981,2765,5987,2760,5997,2753xm6347,2501l6007,2501,6021,2502,6035,2507,6047,2515,6058,2525,6072,2549,6076,2576,6070,2603,6055,2627,5968,2711,5966,2713,5963,2715,6055,2715,6057,2711,6080,2684,6111,2660,6152,2650,6396,2650,6390,2598,6364,2527,6347,2501xm6007,2501l5910,2501,5923,2502,5936,2505,5948,2511,5958,2519,5969,2511,5981,2505,5994,2502,6007,2501xe" filled="true" fillcolor="#ec8a00" stroked="false">
              <v:path arrowok="t"/>
              <v:fill type="solid"/>
            </v:shape>
            <v:rect style="position:absolute;left:8306;top:3596;width:58;height:77" filled="true" fillcolor="#f05b2c" stroked="false">
              <v:fill type="solid"/>
            </v:rect>
            <v:shape style="position:absolute;left:8320;top:3491;width:29;height:27" coordorigin="8321,3492" coordsize="29,27" path="m8343,3492l8328,3492,8321,3498,8321,3512,8328,3518,8343,3518,8350,3512,8350,3498,8343,3492xe" filled="true" fillcolor="#f05b2c" stroked="false">
              <v:path arrowok="t"/>
              <v:fill type="solid"/>
            </v:shape>
            <v:shape style="position:absolute;left:7984;top:3318;width:699;height:680" coordorigin="7985,3318" coordsize="699,680" path="m8334,3318l8254,3327,8180,3353,8115,3393,8061,3446,8020,3509,7994,3580,7985,3658,7994,3736,8020,3807,8062,3871,8116,3923,8181,3963,8254,3989,8334,3998,8414,3989,8488,3963,8553,3923,8607,3871,8633,3831,8180,3831,8175,3826,8175,3743,8170,3742,8165,3737,8165,3657,8170,3652,8281,3652,8281,3641,8206,3641,8194,3639,8185,3633,8179,3623,8176,3612,8179,3601,8185,3592,8194,3586,8206,3584,8281,3584,8281,3576,8286,3571,8671,3571,8660,3542,8335,3542,8321,3539,8308,3531,8300,3519,8297,3504,8300,3490,8308,3478,8321,3470,8335,3467,8621,3467,8607,3446,8553,3393,8488,3353,8415,3327,8334,3318xm8211,3743l8200,3743,8200,3826,8195,3831,8216,3831,8211,3826,8211,3743xm8281,3652l8239,3652,8244,3657,8244,3731,8245,3731,8245,3737,8242,3742,8236,3743,8236,3826,8231,3831,8301,3831,8296,3826,8296,3698,8286,3698,8281,3693,8281,3652xm8350,3698l8321,3698,8321,3826,8316,3831,8355,3831,8350,3826,8350,3698xm8671,3571l8385,3571,8390,3576,8390,3693,8385,3698,8375,3698,8375,3826,8370,3831,8438,3831,8433,3826,8433,3758,8430,3757,8428,3757,8427,3754,8424,3752,8423,3748,8424,3744,8442,3660,8443,3654,8448,3651,8683,3651,8682,3641,8463,3641,8451,3639,8442,3633,8435,3623,8433,3612,8435,3601,8442,3592,8451,3586,8463,3584,8675,3584,8674,3580,8671,3571xm8469,3759l8458,3759,8458,3826,8453,3831,8474,3831,8469,3826,8469,3759xm8683,3651l8477,3651,8482,3654,8484,3660,8502,3744,8502,3752,8500,3754,8498,3757,8496,3757,8493,3758,8493,3826,8488,3831,8633,3831,8648,3807,8674,3736,8684,3658,8683,3651xm8281,3584l8206,3584,8217,3586,8227,3592,8233,3601,8236,3612,8233,3623,8227,3633,8217,3639,8206,3641,8281,3641,8281,3584xm8675,3584l8463,3584,8474,3586,8483,3592,8490,3601,8492,3612,8490,3623,8483,3633,8474,3639,8463,3641,8682,3641,8675,3584xm8621,3467l8335,3467,8350,3470,8362,3478,8371,3490,8374,3504,8371,3519,8362,3531,8350,3539,8335,3542,8660,3542,8648,3509,8621,3467xe" filled="true" fillcolor="#f05b2c" stroked="false">
              <v:path arrowok="t"/>
              <v:fill type="solid"/>
            </v:shape>
            <v:rect style="position:absolute;left:9618;top:4247;width:60;height:79" filled="true" fillcolor="#f05b2c" stroked="false">
              <v:fill type="solid"/>
            </v:rect>
            <v:shape style="position:absolute;left:9634;top:4143;width:27;height:27" coordorigin="9635,4143" coordsize="27,27" path="m9655,4143l9641,4143,9635,4149,9635,4163,9641,4169,9655,4169,9661,4163,9661,4149,9655,4143xe" filled="true" fillcolor="#f05b2c" stroked="false">
              <v:path arrowok="t"/>
              <v:fill type="solid"/>
            </v:shape>
            <v:shape style="position:absolute;left:9296;top:3969;width:702;height:680" coordorigin="9296,3970" coordsize="702,680" path="m9647,3970l9576,3976,9510,3996,9450,4028,9399,4069,9356,4120,9324,4177,9303,4241,9296,4310,9306,4387,9332,4459,9373,4522,9428,4575,9493,4615,9567,4640,9647,4649,9727,4640,9801,4615,9866,4575,9920,4522,9946,4482,9492,4482,9487,4478,9487,4395,9482,4394,9477,4389,9477,4308,9482,4303,9594,4303,9594,4293,9518,4293,9507,4290,9497,4284,9491,4275,9488,4264,9491,4253,9497,4243,9507,4237,9518,4235,9594,4235,9594,4228,9598,4223,9985,4223,9975,4193,9648,4193,9633,4190,9621,4182,9613,4170,9610,4156,9613,4141,9621,4129,9633,4121,9648,4119,9937,4119,9895,4069,9843,4028,9784,3996,9718,3976,9647,3970xm9523,4395l9512,4395,9512,4478,9507,4482,9528,4482,9523,4478,9523,4395xm9594,4303l9552,4303,9556,4308,9556,4383,9558,4383,9558,4389,9554,4394,9548,4395,9548,4478,9543,4482,9613,4482,9608,4478,9608,4349,9598,4349,9594,4344,9594,4303xm9663,4349l9633,4349,9633,4478,9628,4482,9668,4482,9663,4478,9663,4349xm9985,4223l9698,4223,9703,4228,9703,4344,9698,4349,9688,4349,9688,4478,9683,4482,9751,4482,9746,4478,9746,4409,9744,4408,9741,4408,9740,4406,9737,4403,9736,4399,9737,4396,9755,4312,9756,4306,9761,4302,9997,4302,9996,4293,9776,4293,9764,4290,9755,4284,9748,4275,9746,4264,9748,4253,9755,4243,9764,4237,9776,4235,9988,4235,9985,4223xm9782,4410l9771,4410,9771,4478,9766,4482,9787,4482,9782,4478,9782,4410xm9997,4302l9791,4302,9795,4306,9797,4312,9815,4396,9815,4403,9813,4406,9812,4408,9809,4408,9807,4409,9807,4478,9802,4482,9946,4482,9962,4459,9988,4387,9998,4310,9997,4302xm9594,4235l9518,4235,9529,4237,9539,4243,9545,4253,9548,4264,9545,4275,9539,4284,9529,4290,9518,4293,9594,4293,9594,4235xm9988,4235l9776,4235,9787,4237,9797,4243,9803,4253,9805,4264,9803,4275,9797,4284,9787,4290,9776,4293,9996,4293,9990,4241,9988,4235xm9937,4119l9648,4119,9663,4121,9675,4129,9683,4141,9687,4156,9683,4170,9675,4182,9663,4190,9648,4193,9975,4193,9970,4177,9938,4120,9937,4119xe" filled="true" fillcolor="#f05b2c" stroked="false">
              <v:path arrowok="t"/>
              <v:fill type="solid"/>
            </v:shape>
            <v:rect style="position:absolute;left:8967;top:6144;width:60;height:79" filled="true" fillcolor="#f05b2c" stroked="false">
              <v:fill type="solid"/>
            </v:rect>
            <v:shape style="position:absolute;left:8981;top:6040;width:29;height:27" coordorigin="8981,6040" coordsize="29,27" path="m9004,6040l8988,6040,8981,6046,8981,6061,8988,6067,9004,6067,9010,6061,9010,6046,9004,6040xe" filled="true" fillcolor="#f05b2c" stroked="false">
              <v:path arrowok="t"/>
              <v:fill type="solid"/>
            </v:shape>
            <v:shape style="position:absolute;left:8645;top:5869;width:702;height:678" coordorigin="8645,5869" coordsize="702,678" path="m8996,5869l8915,5878,8841,5904,8776,5944,8722,5996,8681,6059,8654,6130,8645,6208,8655,6286,8681,6357,8722,6420,8777,6472,8842,6512,8916,6538,8996,6547,9076,6538,9150,6512,9215,6472,9269,6420,9295,6380,8841,6380,8836,6376,8836,6293,8831,6292,8826,6287,8826,6207,8831,6202,8943,6202,8943,6191,8867,6191,8856,6189,8846,6183,8840,6174,8837,6162,8840,6151,8846,6142,8856,6136,8867,6134,8943,6134,8943,6127,8948,6122,9334,6122,9323,6092,8997,6092,8982,6089,8970,6081,8962,6069,8959,6055,8962,6040,8970,6029,8982,6021,8997,6018,9284,6018,9270,5996,9216,5944,9150,5904,9077,5878,8996,5869xm8872,6293l8861,6293,8861,6376,8856,6380,8877,6380,8872,6376,8872,6293xm8943,6202l8901,6202,8905,6207,8905,6281,8907,6281,8907,6287,8903,6292,8897,6293,8897,6376,8892,6380,8962,6380,8957,6376,8957,6247,8948,6247,8943,6243,8943,6202xm9012,6247l8982,6247,8982,6376,8977,6380,9017,6380,9012,6376,9012,6247xm9334,6122l9047,6122,9052,6127,9052,6243,9047,6247,9037,6247,9037,6376,9032,6380,9100,6380,9095,6376,9095,6307,9093,6306,9090,6306,9089,6304,9086,6301,9085,6298,9086,6294,9104,6210,9105,6204,9110,6201,9346,6201,9345,6191,9125,6191,9113,6189,9104,6183,9097,6174,9095,6162,9097,6151,9104,6142,9113,6136,9125,6134,9338,6134,9337,6130,9334,6122xm9131,6308l9120,6308,9120,6376,9115,6380,9136,6380,9131,6376,9131,6308xm9346,6201l9140,6201,9144,6204,9146,6210,9164,6294,9164,6301,9162,6304,9161,6306,9158,6306,9156,6307,9156,6376,9151,6380,9295,6380,9311,6357,9337,6286,9347,6208,9346,6201xm8943,6134l8867,6134,8878,6136,8888,6142,8894,6151,8897,6162,8894,6174,8888,6183,8878,6189,8867,6191,8943,6191,8943,6134xm9338,6134l9125,6134,9136,6136,9146,6142,9152,6151,9154,6162,9152,6174,9146,6183,9136,6189,9125,6191,9345,6191,9338,6134xm9284,6018l8997,6018,9012,6021,9024,6029,9033,6040,9036,6055,9033,6069,9024,6081,9012,6089,8997,6092,9323,6092,9311,6059,9284,6018xe" filled="true" fillcolor="#f05b2c" stroked="false">
              <v:path arrowok="t"/>
              <v:fill type="solid"/>
            </v:shape>
            <v:shape style="position:absolute;left:6213;top:1292;width:414;height:115" coordorigin="6214,1293" coordsize="414,115" path="m6245,1306l6214,1308,6218,1408,6242,1407,6239,1338,6267,1338,6245,1306xm6267,1338l6239,1338,6285,1405,6310,1404,6308,1362,6284,1362,6267,1338xm6305,1303l6281,1304,6284,1362,6308,1362,6305,1303xm6387,1298l6380,1298,6368,1299,6357,1303,6348,1307,6340,1314,6334,1322,6330,1331,6327,1341,6327,1352,6328,1364,6332,1374,6337,1383,6343,1390,6351,1396,6361,1400,6372,1402,6384,1402,6391,1402,6399,1401,6406,1399,6414,1396,6419,1394,6424,1392,6423,1384,6379,1384,6370,1381,6358,1370,6354,1362,6354,1345,6354,1341,6356,1336,6357,1332,6359,1329,6362,1326,6365,1323,6368,1321,6372,1319,6375,1318,6380,1317,6388,1316,6420,1316,6419,1305,6412,1302,6405,1300,6399,1299,6393,1298,6387,1298xm6422,1363l6396,1363,6397,1383,6396,1383,6395,1383,6394,1383,6392,1383,6390,1383,6379,1384,6423,1384,6422,1363xm6421,1343l6375,1345,6376,1364,6396,1363,6422,1363,6421,1343xm6420,1316l6388,1316,6392,1317,6399,1318,6402,1320,6405,1321,6407,1322,6409,1323,6414,1326,6416,1328,6418,1329,6420,1328,6420,1316xm6488,1293l6477,1294,6467,1297,6458,1302,6451,1309,6445,1316,6441,1326,6439,1336,6439,1347,6440,1359,6443,1369,6448,1377,6454,1385,6462,1391,6471,1395,6482,1397,6493,1397,6505,1396,6515,1393,6523,1388,6531,1381,6533,1378,6489,1378,6486,1378,6483,1377,6480,1376,6477,1374,6472,1369,6470,1365,6467,1357,6466,1352,6466,1347,6466,1344,6466,1338,6466,1335,6467,1331,6468,1326,6470,1323,6472,1320,6475,1317,6477,1315,6480,1314,6483,1313,6486,1312,6489,1312,6533,1312,6527,1305,6519,1299,6510,1295,6500,1293,6488,1293xm6533,1312l6492,1312,6496,1312,6499,1313,6502,1314,6504,1316,6509,1321,6511,1324,6514,1333,6515,1338,6515,1344,6516,1349,6515,1354,6514,1359,6513,1363,6512,1366,6509,1369,6507,1372,6505,1374,6499,1377,6496,1378,6489,1378,6533,1378,6536,1373,6540,1364,6542,1354,6542,1349,6543,1342,6541,1331,6538,1321,6533,1312,6533,1312xm6559,1368l6556,1368,6557,1388,6561,1389,6565,1391,6576,1393,6582,1393,6601,1392,6611,1389,6624,1379,6626,1377,6585,1377,6582,1376,6575,1375,6573,1375,6570,1374,6567,1373,6565,1372,6563,1371,6560,1369,6559,1368xm6599,1312l6593,1313,6581,1313,6572,1316,6565,1321,6558,1326,6555,1332,6555,1336,6555,1340,6556,1344,6556,1346,6557,1350,6561,1354,6565,1357,6570,1360,6577,1361,6579,1362,6582,1362,6585,1363,6588,1363,6591,1363,6593,1364,6596,1364,6599,1365,6602,1366,6603,1368,6603,1372,6602,1373,6597,1376,6594,1376,6589,1377,6626,1377,6628,1373,6627,1366,6627,1360,6625,1355,6619,1348,6614,1346,6607,1344,6605,1344,6593,1342,6591,1342,6586,1341,6583,1341,6582,1340,6581,1339,6580,1337,6580,1334,6581,1332,6586,1330,6590,1329,6594,1329,6598,1328,6622,1328,6622,1317,6619,1316,6614,1315,6604,1313,6599,1312xm6622,1328l6598,1328,6603,1329,6608,1330,6612,1332,6617,1334,6620,1336,6622,1336,6622,1328xe" filled="true" fillcolor="#ec8a00" stroked="false">
              <v:path arrowok="t"/>
              <v:fill type="solid"/>
            </v:shape>
            <v:shape style="position:absolute;left:6063;top:509;width:700;height:679" coordorigin="6064,510" coordsize="700,679" path="m6398,510l6318,523,6245,552,6182,595,6130,650,6092,715,6069,787,6064,866,6076,943,6106,1013,6150,1075,6207,1124,6274,1161,6349,1183,6429,1189,6509,1176,6582,1147,6645,1104,6697,1049,6697,1048,6342,1048,6331,1046,6320,1042,6181,990,6175,978,6178,965,6184,953,6194,943,6207,937,6224,935,6356,935,6366,927,6380,919,6395,912,6411,905,6418,892,6321,892,6319,891,6316,889,6226,810,6207,786,6199,759,6202,732,6215,707,6225,696,6237,688,6250,683,6266,681,6340,681,6349,678,6362,676,6714,676,6677,625,6620,575,6553,537,6479,515,6398,510xm6754,923l6655,923,6660,928,6660,936,6661,942,6656,947,6648,948,6643,948,6632,949,6622,952,6612,957,6602,962,6516,1024,6503,1031,6489,1037,6475,1041,6460,1043,6342,1048,6697,1048,6735,984,6735,983,6754,923xm6210,960l6203,967,6202,971,6202,973,6205,974,6328,1021,6336,1025,6345,1025,6459,1020,6470,1019,6481,1016,6491,1011,6493,1010,6348,1010,6340,1001,6339,997,6336,992,6334,987,6334,982,6222,960,6210,960xm6757,914l6515,914,6520,920,6523,925,6524,933,6518,937,6476,971,6467,979,6454,985,6442,988,6376,1006,6371,1007,6366,1009,6363,1009,6348,1010,6493,1010,6501,1005,6588,943,6600,936,6613,930,6628,926,6642,924,6647,924,6655,923,6754,923,6757,914xm6760,812l6645,812,6650,817,6650,824,6650,831,6646,836,6517,842,6482,856,6455,882,6439,907,6433,919,6432,922,6429,924,6427,926,6411,933,6396,940,6382,948,6371,956,6363,962,6360,972,6359,978,6359,984,6360,985,6363,986,6369,983,6436,966,6445,963,6453,959,6460,953,6501,919,6507,915,6515,914,6757,914,6758,911,6763,833,6760,812xm6356,935l6225,935,6339,956,6342,949,6348,941,6354,936,6356,935xm6714,676l6362,676,6377,677,6391,682,6403,689,6415,698,6430,721,6435,748,6431,775,6416,800,6333,888,6331,890,6329,892,6321,892,6418,892,6423,884,6444,856,6474,831,6515,818,6645,812,6760,812,6750,756,6721,686,6714,676xm6340,681l6266,681,6278,681,6291,684,6303,689,6315,696,6325,688,6337,682,6340,681xe" filled="true" fillcolor="#ec8a00" stroked="false">
              <v:path arrowok="t"/>
              <v:fill type="solid"/>
            </v:shape>
            <v:rect style="position:absolute;left:2214;top:4040;width:89;height:60" filled="true" fillcolor="#fbb324" stroked="false">
              <v:fill type="solid"/>
            </v:rect>
            <v:rect style="position:absolute;left:2042;top:4040;width:91;height:60" filled="true" fillcolor="#fbb324" stroked="false">
              <v:fill type="solid"/>
            </v:rect>
            <v:shape style="position:absolute;left:2242;top:3931;width:31;height:31" coordorigin="2243,3931" coordsize="31,31" path="m2267,3931l2250,3931,2243,3939,2243,3955,2250,3962,2267,3962,2274,3955,2274,3939,2267,3931xe" filled="true" fillcolor="#fbb324" stroked="false">
              <v:path arrowok="t"/>
              <v:fill type="solid"/>
            </v:shape>
            <v:shape style="position:absolute;left:2071;top:3931;width:34;height:31" coordorigin="2071,3931" coordsize="34,31" path="m2097,3931l2079,3931,2071,3939,2071,3955,2079,3962,2097,3962,2105,3955,2105,3939,2097,3931xe" filled="true" fillcolor="#fbb324" stroked="false">
              <v:path arrowok="t"/>
              <v:fill type="solid"/>
            </v:shape>
            <v:shape style="position:absolute;left:1820;top:3755;width:704;height:683" coordorigin="1821,3756" coordsize="704,683" path="m2173,3756l2102,3762,2036,3782,1976,3814,1924,3855,1881,3906,1848,3964,1828,4028,1821,4096,1828,4165,1848,4229,1881,4287,1924,4337,1976,4379,2035,4411,2101,4431,2172,4438,2243,4431,2309,4411,2368,4380,2421,4338,2463,4289,1995,4289,1990,4284,1990,4122,1980,4122,1975,4118,1975,4103,1980,4098,2017,4098,2017,4020,2022,4015,2513,4015,2504,3985,2088,3985,2072,3982,2059,3974,2050,3961,2047,3946,2050,3930,2059,3918,2072,3909,2088,3906,2464,3906,2422,3856,2370,3814,2310,3782,2244,3762,2173,3756xm2513,4015l2322,4015,2327,4020,2327,4098,2364,4098,2369,4103,2369,4118,2365,4122,2356,4122,2356,4284,2351,4289,2463,4289,2464,4288,2496,4230,2517,4166,2524,4098,2524,4096,2517,4028,2513,4015xm2193,4015l2151,4015,2156,4020,2156,4098,2188,4098,2188,4020,2193,4015xm2259,3906l2088,3906,2103,3909,2116,3918,2125,3930,2129,3946,2125,3961,2116,3974,2103,3982,2088,3985,2259,3985,2243,3982,2230,3974,2221,3961,2218,3946,2221,3930,2230,3918,2243,3909,2259,3906xm2464,3906l2259,3906,2275,3909,2288,3918,2296,3930,2300,3946,2296,3961,2288,3974,2275,3982,2259,3985,2504,3985,2497,3964,2465,3906,2464,3906xe" filled="true" fillcolor="#fbb324" stroked="false">
              <v:path arrowok="t"/>
              <v:fill type="solid"/>
            </v:shape>
            <v:rect style="position:absolute;left:2013;top:4121;width:318;height:143" filled="true" fillcolor="#fbb324" stroked="false">
              <v:fill type="solid"/>
            </v:rect>
            <v:shape style="position:absolute;left:5514;top:3912;width:34;height:34" coordorigin="5514,3912" coordsize="34,34" path="m5540,3912l5522,3912,5514,3920,5514,3938,5522,3946,5540,3946,5548,3938,5548,3920,5540,3912xe" filled="true" fillcolor="#c00000" stroked="false">
              <v:path arrowok="t"/>
              <v:fill type="solid"/>
            </v:shape>
            <v:shape style="position:absolute;left:5497;top:4047;width:67;height:136" coordorigin="5498,4048" coordsize="67,136" path="m5534,4048l5528,4048,5498,4183,5565,4183,5534,4048xe" filled="true" fillcolor="#c00000" stroked="false">
              <v:path arrowok="t"/>
              <v:fill type="solid"/>
            </v:shape>
            <v:shape style="position:absolute;left:6100;top:3912;width:34;height:34" coordorigin="6101,3912" coordsize="34,34" path="m6127,3912l6109,3912,6101,3920,6101,3938,6109,3946,6127,3946,6135,3938,6135,3920,6127,3912xe" filled="true" fillcolor="#c00000" stroked="false">
              <v:path arrowok="t"/>
              <v:fill type="solid"/>
            </v:shape>
            <v:shape style="position:absolute;left:6086;top:4047;width:63;height:136" coordorigin="6087,4048" coordsize="63,136" path="m6121,4048l6116,4048,6087,4183,6149,4183,6121,4048xe" filled="true" fillcolor="#c00000" stroked="false">
              <v:path arrowok="t"/>
              <v:fill type="solid"/>
            </v:shape>
            <v:shape style="position:absolute;left:5290;top:3606;width:1059;height:1005" coordorigin="5290,3607" coordsize="1059,1005" path="m5820,3607l5741,3613,5666,3629,5596,3654,5531,3688,5472,3730,5420,3779,5375,3837,5339,3898,5313,3964,5296,4035,5290,4110,5296,4183,5313,4255,5340,4322,5376,4384,5420,4439,5473,4489,5532,4532,5597,4566,5667,4592,5742,4607,5820,4611,5898,4607,5972,4592,6043,4566,6108,4532,6167,4489,6219,4439,6264,4384,6273,4368,5483,4368,5475,4360,5475,4219,5470,4219,5464,4217,5457,4209,5455,4203,5457,4199,5465,4162,5374,4162,5367,4158,5358,4152,5356,4142,5363,4132,5446,4023,5451,4013,5463,4011,5580,4011,5584,4005,5596,3981,5532,3981,5511,3977,5493,3966,5482,3950,5477,3930,5482,3910,5493,3894,5511,3882,5532,3878,5651,3878,5664,3853,5664,3851,5666,3851,5666,3849,5668,3849,5668,3847,5670,3845,5672,3845,5674,3843,5678,3843,5679,3841,6266,3841,6264,3837,6219,3779,6167,3730,6108,3688,6043,3654,5972,3629,5898,3613,5820,3607xm5549,4219l5513,4219,5513,4360,5505,4368,5556,4368,5549,4360,5549,4219xm5771,4219l5586,4219,5586,4360,5578,4368,5778,4368,5771,4360,5771,4219xm5844,4219l5808,4219,5808,4360,5801,4368,5852,4368,5844,4360,5844,4219xm6061,4219l5881,4219,5881,4360,5874,4368,6068,4368,6061,4360,6061,4219xm6134,4219l6098,4219,6098,4360,6091,4368,6142,4368,6134,4360,6134,4219xm6186,4013l6143,4013,6151,4019,6153,4027,6190,4199,6192,4203,6190,4209,6186,4213,6183,4215,6177,4219,6171,4219,6171,4360,6164,4368,6273,4368,6300,4322,6327,4255,6343,4183,6345,4162,6265,4162,6259,4160,6256,4154,6173,4045,6168,4035,6170,4025,6177,4019,6186,4013xm5578,4013l5558,4013,5565,4019,5567,4027,5605,4199,5606,4203,5605,4209,5601,4213,5597,4215,5591,4219,5766,4219,5760,4217,5756,4213,5752,4209,5750,4203,5752,4199,5789,4029,5593,4029,5591,4027,5582,4025,5578,4013xm5872,4013l5853,4013,5861,4019,5863,4027,5900,4199,5900,4209,5896,4213,5893,4215,5887,4219,6055,4219,6050,4217,6046,4213,6042,4209,6040,4203,6042,4199,6079,4029,5887,4029,5885,4027,5876,4025,5872,4013xm5580,4011l5463,4011,5472,4019,5481,4025,5483,4035,5475,4045,5393,4154,5389,4160,5384,4162,5465,4162,5494,4027,5496,4019,5504,4013,5578,4013,5580,4011xm6338,4013l6186,4013,6198,4015,6203,4023,6285,4132,6291,4142,6289,4152,6282,4158,6274,4162,6345,4162,6349,4110,6343,4035,6338,4013xm5679,3898l5616,4019,5612,4027,5606,4029,5752,4029,5747,4027,5743,4019,5679,3898xm5964,3845l5696,3845,5696,3847,5698,3847,5700,3849,5700,3851,5702,3853,5782,4005,5786,4013,5782,4025,5775,4027,5773,4029,5789,4029,5792,4019,5799,4013,5872,4013,5878,4005,5890,3981,5825,3981,5804,3977,5787,3966,5775,3950,5771,3930,5776,3910,5788,3894,5804,3882,5825,3878,5945,3878,5958,3853,5958,3851,5960,3851,5960,3849,5962,3849,5962,3847,5964,3845xm5973,3898l5909,4019,5906,4027,5900,4029,6046,4029,6040,4027,6037,4019,5973,3898xm6266,3841l5982,3841,5984,3843,5986,3843,5988,3845,5990,3845,5990,3847,5992,3847,5994,3849,5994,3851,5995,3853,6076,4005,6080,4013,6076,4025,6068,4027,6067,4029,6079,4029,6081,4019,6089,4013,6338,4013,6331,3981,6117,3981,6096,3977,6079,3966,6067,3950,6063,3930,6067,3910,6079,3894,6096,3882,6117,3878,6288,3878,6266,3841xm5651,3878l5532,3878,5553,3882,5570,3894,5582,3910,5586,3930,5582,3950,5570,3966,5553,3977,5532,3981,5596,3981,5651,3878xm5945,3878l5825,3878,5846,3882,5864,3894,5875,3910,5880,3930,5875,3950,5864,3966,5846,3977,5825,3981,5890,3981,5945,3878xm6288,3878l6117,3878,6138,3882,6155,3894,6167,3910,6171,3930,6167,3950,6155,3966,6138,3977,6117,3981,6331,3981,6327,3964,6300,3898,6288,3878xm5967,3843l5692,3843,5694,3845,5966,3845,5967,3843xm5973,3841l5689,3841,5691,3843,5971,3843,5973,3841xe" filled="true" fillcolor="#c00000" stroked="false">
              <v:path arrowok="t"/>
              <v:fill type="solid"/>
            </v:shape>
            <v:shape style="position:absolute;left:5848;top:5517;width:353;height:352" type="#_x0000_t75" stroked="false">
              <v:imagedata r:id="rId37" o:title=""/>
            </v:shape>
            <v:shape style="position:absolute;left:5674;top:5405;width:702;height:680" coordorigin="5674,5406" coordsize="702,680" path="m6025,5406l5954,5412,5888,5432,5828,5464,5777,5505,5734,5556,5702,5613,5681,5677,5674,5746,5683,5823,5710,5895,5751,5958,5806,6011,5871,6051,5945,6077,6025,6086,6105,6077,6179,6051,6244,6011,6255,6000,6103,6000,6097,5999,5942,5999,5937,5994,5936,5988,5934,5980,5929,5971,5918,5964,5848,5914,5838,5906,5830,5897,5823,5886,5818,5875,5788,5797,5784,5788,5783,5778,5784,5768,5792,5663,5793,5651,5802,5641,5832,5641,5858,5583,5902,5536,5960,5504,6027,5493,6257,5493,6244,5480,6179,5440,6105,5415,6025,5406xm6356,5641l6240,5641,6253,5642,6261,5651,6263,5663,6270,5764,6270,5770,6267,5789,6264,5798,6234,5877,6229,5888,6222,5898,6214,5907,6204,5915,6134,5965,6124,5973,6118,5981,6117,5988,6116,5995,6110,6000,6255,6000,6298,5958,6340,5895,6366,5823,6375,5746,6366,5669,6366,5667,6356,5641xm5819,5664l5817,5664,5809,5768,5809,5783,5812,5789,5841,5867,5845,5878,5853,5887,5863,5895,5933,5945,5944,5954,5952,5964,5958,5974,5962,5992,5955,5998,5949,5999,6097,5999,6090,5994,6092,5987,6094,5976,6100,5965,6108,5955,6113,5951,6019,5951,6014,5946,6014,5939,6013,5924,6012,5913,6010,5902,6008,5891,5933,5891,5927,5887,5886,5868,5876,5863,5867,5856,5861,5849,5827,5807,5819,5796,5817,5786,5817,5785,5819,5778,5822,5773,5825,5768,5832,5765,5839,5762,5829,5675,5828,5669,5823,5666,5822,5665,5819,5664xm6197,5784l6188,5788,6178,5793,6168,5800,6158,5809,6147,5818,6145,5820,6143,5821,6133,5821,6125,5822,6098,5829,6074,5844,6056,5864,6045,5890,6041,5901,6040,5912,6039,5925,6038,5939,6038,5946,6033,5951,6113,5951,6119,5946,6190,5896,6198,5890,6119,5890,6112,5887,6109,5882,6107,5877,6109,5869,6119,5864,6155,5848,6167,5840,6172,5834,6207,5792,6210,5789,6210,5788,6207,5785,6197,5784xm5855,5783l5844,5785,5841,5788,5841,5789,5844,5791,5880,5834,5885,5840,5890,5844,5897,5848,5938,5867,5944,5869,5947,5877,5943,5882,5941,5888,5933,5891,6008,5891,6007,5890,5996,5864,5978,5844,5954,5829,5927,5822,5918,5821,5911,5821,5907,5820,5905,5818,5894,5809,5884,5800,5874,5793,5864,5788,5855,5783xm6235,5665l6234,5665,6232,5666,6230,5667,6227,5670,6224,5676,6214,5764,6222,5766,6228,5770,6232,5774,6234,5779,6236,5786,6234,5796,6225,5808,6191,5849,6185,5857,6175,5864,6166,5868,6125,5887,6119,5890,6198,5890,6199,5888,6207,5879,6210,5868,6240,5790,6243,5784,6244,5778,6243,5771,6235,5665xm5832,5641l5819,5641,5825,5642,5830,5645,5832,5641xm6257,5493l6027,5493,6094,5504,6152,5536,6197,5584,6224,5645,6229,5642,6235,5641,6356,5641,6340,5596,6299,5533,6257,5493xe" filled="true" fillcolor="#ffcd00" stroked="false">
              <v:path arrowok="t"/>
              <v:fill type="solid"/>
            </v:shape>
            <v:shape style="position:absolute;left:5926;top:5607;width:199;height:193" type="#_x0000_t75" stroked="false">
              <v:imagedata r:id="rId38" o:title=""/>
            </v:shape>
            <v:shape style="position:absolute;left:1448;top:248;width:8802;height:8369" coordorigin="1449,249" coordsize="8802,8369" path="m1449,4433l1450,4359,1452,4285,1455,4211,1460,4137,1466,4064,1473,3992,1482,3919,1492,3847,1503,3776,1515,3705,1529,3634,1544,3563,1560,3494,1578,3424,1596,3355,1616,3286,1637,3218,1659,3151,1683,3084,1707,3017,1733,2951,1760,2885,1788,2820,1817,2756,1847,2692,1878,2629,1910,2566,1943,2504,1978,2442,2013,2381,2050,2321,2087,2261,2126,2202,2165,2144,2206,2086,2247,2029,2289,1973,2333,1917,2377,1862,2422,1808,2468,1755,2515,1702,2563,1650,2612,1599,2662,1548,2712,1499,2764,1450,2816,1402,2869,1355,2923,1308,2977,1263,3033,1218,3089,1174,3146,1131,3204,1089,3262,1048,3322,1007,3381,968,3442,930,3504,892,3566,856,3628,820,3692,785,3756,752,3821,719,3886,687,3952,657,4019,627,4086,598,4154,571,4222,544,4291,519,4360,494,4430,471,4501,449,4572,428,4644,408,4716,389,4788,371,4861,355,4935,339,5009,325,5083,312,5158,300,5233,289,5309,280,5385,272,5462,265,5538,259,5616,254,5693,251,5771,249,5849,249,5928,249,6006,251,6083,254,6160,259,6237,265,6314,272,6390,280,6465,289,6541,300,6616,312,6690,325,6764,339,6838,355,6911,371,6983,389,7055,408,7127,428,7198,449,7269,471,7339,494,7408,519,7477,544,7545,571,7613,598,7680,627,7747,657,7813,687,7878,719,7943,752,8007,785,8071,820,8133,856,8195,892,8257,930,8317,968,8377,1007,8437,1048,8495,1089,8553,1131,8610,1174,8666,1218,8722,1263,8776,1308,8830,1355,8883,1402,8935,1450,8987,1499,9037,1548,9087,1599,9136,1650,9184,1702,9231,1755,9277,1808,9322,1862,9366,1917,9410,1973,9452,2029,9493,2086,9534,2144,9573,2202,9612,2261,9649,2321,9686,2381,9721,2442,9755,2504,9789,2566,9821,2629,9852,2692,9882,2756,9911,2820,9939,2885,9966,2951,9992,3017,10016,3084,10040,3151,10062,3218,10083,3286,10103,3355,10121,3424,10139,3494,10155,3563,10170,3634,10184,3705,10196,3776,10207,3847,10217,3919,10226,3992,10233,4064,10239,4137,10244,4211,10247,4285,10249,4359,10250,4433,10249,4508,10247,4582,10244,4655,10239,4729,10233,4802,10226,4875,10217,4947,10207,5019,10196,5090,10184,5162,10170,5232,10155,5303,10139,5373,10121,5442,10103,5511,10083,5580,10062,5648,10040,5715,10016,5783,9992,5849,9966,5915,9939,5981,9911,6046,9882,6110,9852,6174,9821,6237,9789,6300,9755,6362,9721,6424,9686,6485,9649,6545,9612,6605,9573,6664,9534,6722,9493,6780,9452,6837,9410,6893,9366,6949,9322,7004,9277,7058,9231,7111,9184,7164,9136,7216,9087,7267,9037,7318,8987,7367,8935,7416,8883,7464,8830,7512,8776,7558,8722,7604,8666,7648,8610,7692,8553,7735,8495,7777,8437,7818,8377,7859,8317,7898,8257,7937,8195,7974,8133,8011,8071,8046,8007,8081,7943,8115,7878,8147,7813,8179,7747,8210,7680,8239,7613,8268,7545,8296,7477,8322,7408,8348,7339,8372,7269,8395,7198,8417,7127,8439,7055,8459,6983,8477,6911,8495,6838,8512,6764,8527,6690,8541,6616,8554,6541,8566,6465,8577,6390,8586,6314,8595,6237,8602,6160,8607,6083,8612,6006,8615,5928,8617,5849,8618,5771,8617,5693,8615,5616,8612,5538,8607,5462,8602,5385,8595,5309,8586,5233,8577,5158,8566,5083,8554,5009,8541,4935,8527,4861,8512,4788,8495,4716,8477,4644,8459,4572,8439,4501,8417,4430,8395,4360,8372,4291,8348,4222,8322,4154,8296,4086,8268,4019,8239,3952,8210,3886,8179,3821,8147,3756,8115,3692,8081,3628,8046,3566,8011,3504,7974,3442,7937,3381,7898,3322,7859,3262,7818,3204,7777,3146,7735,3089,7692,3033,7648,2977,7604,2923,7558,2869,7512,2816,7464,2764,7416,2712,7367,2662,7318,2612,7267,2563,7216,2515,7164,2468,7111,2422,7058,2377,7004,2333,6949,2289,6893,2247,6837,2206,6780,2165,6722,2126,6664,2087,6605,2050,6545,2013,6485,1978,6424,1943,6362,1910,6300,1878,6237,1847,6174,1817,6110,1788,6046,1760,5981,1733,5915,1707,5849,1683,5783,1659,5715,1637,5648,1616,5580,1596,5511,1578,5442,1560,5373,1544,5303,1529,5232,1515,5162,1503,5090,1492,5019,1482,4947,1473,4875,1466,4802,1460,4729,1455,4655,1452,4582,1450,4508,1449,4433xe" filled="false" stroked="true" strokeweight=".744024pt" strokecolor="#000000">
              <v:path arrowok="t"/>
              <v:stroke dashstyle="shortdash"/>
            </v:shape>
            <v:rect style="position:absolute;left:3575;top:6979;width:91;height:58" filled="true" fillcolor="#fbb324" stroked="false">
              <v:fill type="solid"/>
            </v:rect>
            <v:rect style="position:absolute;left:3406;top:6979;width:89;height:58" filled="true" fillcolor="#fbb324" stroked="false">
              <v:fill type="solid"/>
            </v:rect>
            <v:shape style="position:absolute;left:3604;top:6867;width:34;height:31" coordorigin="3604,6868" coordsize="34,31" path="m3630,6868l3612,6868,3604,6875,3604,6891,3612,6899,3630,6899,3638,6891,3638,6875,3630,6868xe" filled="true" fillcolor="#fbb324" stroked="false">
              <v:path arrowok="t"/>
              <v:fill type="solid"/>
            </v:shape>
            <v:shape style="position:absolute;left:3435;top:6867;width:31;height:31" coordorigin="3435,6868" coordsize="31,31" path="m3459,6868l3442,6868,3435,6875,3435,6891,3442,6899,3459,6899,3466,6891,3466,6875,3459,6868xe" filled="true" fillcolor="#fbb324" stroked="false">
              <v:path arrowok="t"/>
              <v:fill type="solid"/>
            </v:shape>
            <v:shape style="position:absolute;left:3184;top:6694;width:702;height:680" coordorigin="3185,6694" coordsize="702,680" path="m3536,6694l3465,6701,3399,6721,3339,6752,3288,6794,3245,6844,3212,6902,3192,6965,3185,7034,3194,7111,3220,7183,3262,7246,3316,7299,3381,7339,3455,7365,3535,7374,3615,7365,3689,7340,3754,7299,3808,7247,3823,7225,3358,7225,3353,7221,3353,7060,3343,7060,3338,7055,3338,7041,3343,7036,3380,7036,3380,6958,3385,6953,3875,6953,3865,6923,3451,6923,3435,6920,3422,6912,3413,6899,3410,6884,3413,6868,3422,6856,3435,6847,3451,6844,3826,6844,3784,6794,3732,6752,3673,6721,3607,6701,3536,6694xm3875,6953l3684,6953,3689,6958,3689,7036,3726,7036,3731,7041,3731,7055,3728,7060,3718,7060,3718,7221,3713,7225,3823,7225,3850,7184,3877,7112,3886,7036,3886,7034,3879,6966,3875,6953xm3556,6953l3514,6953,3519,6958,3519,7036,3551,7036,3551,6958,3556,6953xm3621,6844l3451,6844,3466,6847,3479,6856,3488,6868,3491,6884,3488,6899,3479,6912,3466,6920,3451,6923,3621,6923,3605,6920,3593,6912,3584,6899,3581,6884,3584,6868,3593,6856,3605,6847,3621,6844xm3826,6844l3621,6844,3637,6847,3650,6856,3659,6868,3662,6884,3659,6899,3650,6912,3637,6920,3621,6923,3865,6923,3859,6902,3826,6844,3826,6844xe" filled="true" fillcolor="#fbb324" stroked="false">
              <v:path arrowok="t"/>
              <v:fill type="solid"/>
            </v:shape>
            <v:rect style="position:absolute;left:3377;top:7060;width:315;height:143" filled="true" fillcolor="#fbb324" stroked="false">
              <v:fill type="solid"/>
            </v:rect>
            <v:rect style="position:absolute;left:3356;top:4338;width:91;height:60" filled="true" fillcolor="#fbb324" stroked="false">
              <v:fill type="solid"/>
            </v:rect>
            <v:rect style="position:absolute;left:3187;top:4338;width:89;height:60" filled="true" fillcolor="#fbb324" stroked="false">
              <v:fill type="solid"/>
            </v:rect>
            <v:shape style="position:absolute;left:3385;top:4228;width:34;height:31" coordorigin="3385,4229" coordsize="34,31" path="m3411,4229l3393,4229,3385,4236,3385,4252,3393,4260,3411,4260,3418,4252,3418,4236,3411,4229xe" filled="true" fillcolor="#fbb324" stroked="false">
              <v:path arrowok="t"/>
              <v:fill type="solid"/>
            </v:shape>
            <v:shape style="position:absolute;left:3215;top:4228;width:31;height:31" coordorigin="3216,4229" coordsize="31,31" path="m3240,4229l3223,4229,3216,4236,3216,4252,3223,4260,3240,4260,3247,4252,3247,4236,3240,4229xe" filled="true" fillcolor="#fbb324" stroked="false">
              <v:path arrowok="t"/>
              <v:fill type="solid"/>
            </v:shape>
            <v:shape style="position:absolute;left:2965;top:4055;width:702;height:680" coordorigin="2965,4055" coordsize="702,680" path="m3317,4055l3246,4062,3180,4082,3120,4113,3068,4155,3025,4205,2993,4262,2973,4326,2965,4394,2975,4472,3001,4544,3042,4607,3097,4660,3162,4700,3235,4726,3315,4735,3396,4726,3469,4701,3535,4660,3589,4608,3603,4586,3139,4586,3134,4582,3134,4421,3124,4421,3119,4416,3119,4402,3124,4397,3161,4397,3161,4319,3166,4314,3655,4314,3646,4284,3231,4284,3215,4281,3202,4272,3194,4260,3190,4245,3194,4229,3202,4217,3215,4208,3231,4205,3607,4205,3564,4155,3513,4113,3453,4082,3387,4062,3317,4055xm3655,4314l3465,4314,3470,4319,3470,4397,3507,4397,3512,4402,3512,4416,3508,4421,3498,4421,3498,4582,3493,4586,3603,4586,3631,4545,3657,4473,3666,4397,3666,4394,3659,4327,3655,4314xm3336,4314l3294,4314,3299,4319,3299,4397,3331,4397,3331,4319,3336,4314xm3402,4205l3231,4205,3247,4208,3260,4217,3269,4229,3272,4245,3269,4260,3260,4272,3247,4281,3231,4284,3402,4284,3386,4281,3373,4272,3364,4260,3361,4245,3364,4229,3373,4217,3386,4208,3402,4205xm3607,4205l3402,4205,3418,4208,3431,4217,3439,4229,3443,4245,3439,4260,3431,4272,3418,4281,3402,4284,3646,4284,3639,4263,3607,4205,3607,4205xe" filled="true" fillcolor="#fbb324" stroked="false">
              <v:path arrowok="t"/>
              <v:fill type="solid"/>
            </v:shape>
            <v:rect style="position:absolute;left:3158;top:4421;width:315;height:141" filled="true" fillcolor="#fbb324" stroked="false">
              <v:fill type="solid"/>
            </v:rect>
            <v:rect style="position:absolute;left:3711;top:1394;width:89;height:60" filled="true" fillcolor="#fbb324" stroked="false">
              <v:fill type="solid"/>
            </v:rect>
            <v:rect style="position:absolute;left:3539;top:1394;width:89;height:60" filled="true" fillcolor="#fbb324" stroked="false">
              <v:fill type="solid"/>
            </v:rect>
            <v:shape style="position:absolute;left:3740;top:1285;width:31;height:31" coordorigin="3740,1285" coordsize="31,31" path="m3764,1285l3747,1285,3740,1292,3740,1309,3747,1316,3764,1316,3771,1309,3771,1292,3764,1285xe" filled="true" fillcolor="#fbb324" stroked="false">
              <v:path arrowok="t"/>
              <v:fill type="solid"/>
            </v:shape>
            <v:shape style="position:absolute;left:3568;top:1285;width:34;height:31" coordorigin="3569,1285" coordsize="34,31" path="m3594,1285l3576,1285,3569,1292,3569,1309,3576,1316,3594,1316,3602,1309,3602,1292,3594,1285xe" filled="true" fillcolor="#fbb324" stroked="false">
              <v:path arrowok="t"/>
              <v:fill type="solid"/>
            </v:shape>
            <v:shape style="position:absolute;left:3318;top:1109;width:704;height:683" coordorigin="3318,1109" coordsize="704,683" path="m3671,1109l3600,1116,3533,1136,3473,1168,3421,1209,3378,1260,3346,1317,3325,1381,3318,1450,3325,1518,3346,1582,3378,1640,3421,1691,3473,1733,3533,1765,3599,1785,3669,1792,3740,1785,3806,1765,3866,1733,3918,1692,3960,1642,3492,1642,3487,1638,3487,1476,3477,1476,3472,1471,3472,1457,3477,1452,3514,1452,3514,1374,3519,1369,4011,1369,4001,1339,3585,1339,3569,1336,3556,1327,3547,1315,3544,1299,3547,1284,3556,1271,3569,1263,3585,1260,3962,1260,3919,1209,3867,1168,3808,1136,3742,1116,3671,1109xm4011,1369l3820,1369,3825,1374,3825,1452,3862,1452,3867,1457,3867,1471,3863,1476,3853,1476,3853,1638,3848,1642,3960,1642,3961,1641,3994,1583,4015,1520,4022,1452,4022,1450,4015,1382,4011,1369xm3691,1369l3648,1369,3653,1374,3653,1452,3686,1452,3686,1374,3691,1369xm3756,1260l3585,1260,3601,1263,3614,1271,3623,1284,3626,1299,3623,1315,3614,1327,3601,1336,3585,1339,3756,1339,3740,1336,3727,1327,3719,1315,3715,1299,3719,1284,3727,1271,3740,1263,3756,1260xm3962,1260l3756,1260,3772,1263,3785,1271,3794,1284,3797,1299,3794,1315,3785,1327,3772,1336,3756,1339,4001,1339,3994,1318,3962,1260,3962,1260xe" filled="true" fillcolor="#fbb324" stroked="false">
              <v:path arrowok="t"/>
              <v:fill type="solid"/>
            </v:shape>
            <v:rect style="position:absolute;left:3511;top:1475;width:318;height:143" filled="true" fillcolor="#fbb324" stroked="false">
              <v:fill type="solid"/>
            </v:rect>
            <v:rect style="position:absolute;left:3427;top:5878;width:91;height:60" filled="true" fillcolor="#fbb324" stroked="false">
              <v:fill type="solid"/>
            </v:rect>
            <v:rect style="position:absolute;left:3258;top:5878;width:89;height:60" filled="true" fillcolor="#fbb324" stroked="false">
              <v:fill type="solid"/>
            </v:rect>
            <v:shape style="position:absolute;left:3456;top:5766;width:34;height:31" coordorigin="3457,5767" coordsize="34,31" path="m3482,5767l3464,5767,3457,5774,3457,5791,3464,5798,3482,5798,3490,5791,3490,5774,3482,5767xe" filled="true" fillcolor="#fbb324" stroked="false">
              <v:path arrowok="t"/>
              <v:fill type="solid"/>
            </v:shape>
            <v:shape style="position:absolute;left:3287;top:5766;width:31;height:31" coordorigin="3287,5767" coordsize="31,31" path="m3311,5767l3294,5767,3287,5774,3287,5791,3294,5798,3311,5798,3318,5791,3318,5774,3311,5767xe" filled="true" fillcolor="#fbb324" stroked="false">
              <v:path arrowok="t"/>
              <v:fill type="solid"/>
            </v:shape>
            <v:shape style="position:absolute;left:3036;top:5593;width:702;height:680" coordorigin="3037,5593" coordsize="702,680" path="m3388,5593l3317,5600,3251,5620,3192,5651,3140,5693,3097,5743,3065,5801,3044,5864,3037,5933,3046,6011,3073,6082,3114,6145,3168,6198,3233,6239,3307,6264,3387,6273,3467,6264,3541,6239,3606,6199,3661,6146,3675,6125,3210,6125,3205,6120,3205,5959,3195,5959,3190,5954,3190,5940,3195,5935,3232,5935,3232,5857,3237,5852,3727,5852,3717,5822,3303,5822,3287,5819,3274,5811,3265,5798,3262,5783,3265,5767,3274,5755,3287,5746,3303,5743,3678,5743,3636,5693,3584,5651,3525,5620,3459,5600,3388,5593xm3727,5852l3536,5852,3541,5857,3541,5935,3579,5935,3583,5940,3583,5954,3580,5959,3570,5959,3570,6120,3565,6125,3675,6125,3702,6083,3729,6012,3738,5935,3738,5933,3731,5865,3727,5852xm3408,5852l3366,5852,3371,5857,3371,5935,3403,5935,3403,5857,3408,5852xm3473,5743l3303,5743,3319,5746,3332,5755,3340,5767,3344,5783,3340,5798,3332,5811,3319,5819,3303,5822,3473,5822,3458,5819,3445,5811,3436,5798,3433,5783,3436,5767,3445,5755,3458,5746,3473,5743xm3678,5743l3473,5743,3489,5746,3502,5755,3511,5767,3514,5783,3511,5798,3502,5811,3489,5819,3473,5822,3717,5822,3711,5801,3679,5743,3678,5743xe" filled="true" fillcolor="#fbb324" stroked="false">
              <v:path arrowok="t"/>
              <v:fill type="solid"/>
            </v:shape>
            <v:rect style="position:absolute;left:3230;top:5959;width:315;height:143" filled="true" fillcolor="#fbb324" stroked="false">
              <v:fill type="solid"/>
            </v:rect>
            <v:rect style="position:absolute;left:7195;top:5086;width:60;height:79" filled="true" fillcolor="#f05b2c" stroked="false">
              <v:fill type="solid"/>
            </v:rect>
            <v:shape style="position:absolute;left:7212;top:4982;width:27;height:27" coordorigin="7212,4982" coordsize="27,27" path="m7233,4982l7218,4982,7212,4988,7212,5003,7218,5009,7233,5009,7239,5003,7239,4988,7233,4982xe" filled="true" fillcolor="#f05b2c" stroked="false">
              <v:path arrowok="t"/>
              <v:fill type="solid"/>
            </v:shape>
            <v:shape style="position:absolute;left:6873;top:4811;width:702;height:678" coordorigin="6874,4811" coordsize="702,678" path="m7224,4811l7143,4820,7070,4846,7005,4886,6950,4938,6909,5001,6883,5072,6874,5150,6883,5228,6909,5299,6951,5362,7005,5414,7070,5454,7144,5480,7224,5489,7304,5480,7378,5454,7443,5414,7498,5362,7524,5322,7069,5322,7064,5318,7064,5235,7059,5234,7055,5229,7055,5149,7059,5144,7171,5144,7171,5133,7095,5133,7084,5131,7074,5125,7068,5115,7066,5104,7068,5093,7074,5084,7084,5078,7095,5076,7171,5076,7171,5069,7176,5064,7562,5064,7551,5034,7225,5034,7211,5031,7198,5023,7190,5011,7187,4997,7190,4982,7198,4971,7211,4963,7225,4960,7512,4960,7498,4938,7444,4886,7379,4846,7305,4820,7224,4811xm7100,5235l7089,5235,7089,5318,7084,5322,7105,5322,7100,5318,7100,5235xm7171,5144l7129,5144,7134,5149,7134,5223,7135,5223,7135,5229,7131,5234,7125,5235,7125,5318,7120,5322,7191,5322,7186,5318,7186,5189,7176,5189,7171,5185,7171,5144xm7240,5189l7211,5189,7211,5318,7206,5322,7245,5322,7240,5318,7240,5189xm7562,5064l7275,5064,7280,5069,7280,5185,7275,5189,7265,5189,7265,5318,7260,5322,7328,5322,7323,5318,7323,5249,7321,5248,7318,5248,7317,5246,7315,5243,7313,5240,7315,5236,7332,5152,7333,5146,7338,5143,7574,5143,7573,5133,7353,5133,7342,5131,7332,5125,7326,5115,7323,5104,7326,5093,7332,5084,7342,5078,7353,5076,7566,5076,7566,5072,7562,5064xm7359,5250l7348,5250,7348,5318,7343,5322,7364,5322,7359,5318,7359,5250xm7574,5143l7368,5143,7373,5146,7374,5152,7393,5236,7393,5243,7390,5246,7389,5248,7386,5248,7384,5249,7384,5318,7379,5322,7524,5322,7539,5299,7566,5228,7575,5150,7574,5143xm7171,5076l7095,5076,7107,5078,7116,5084,7123,5093,7125,5104,7123,5115,7116,5125,7107,5131,7095,5133,7171,5133,7171,5076xm7566,5076l7353,5076,7364,5078,7374,5084,7380,5093,7383,5104,7380,5115,7374,5125,7364,5131,7353,5133,7573,5133,7566,5076xm7512,4960l7225,4960,7240,4963,7253,4971,7261,4982,7264,4997,7261,5011,7253,5023,7240,5031,7225,5034,7551,5034,7539,5001,7512,4960xe" filled="true" fillcolor="#f05b2c" stroked="false">
              <v:path arrowok="t"/>
              <v:fill type="solid"/>
            </v:shape>
            <v:shape style="position:absolute;left:4708;top:7526;width:356;height:302" type="#_x0000_t75" stroked="false">
              <v:imagedata r:id="rId39" o:title=""/>
            </v:shape>
            <v:shape style="position:absolute;left:4558;top:7350;width:656;height:657" coordorigin="4558,7350" coordsize="656,657" path="m4886,7350l4810,7359,4741,7384,4681,7422,4630,7473,4591,7534,4567,7603,4558,7678,4567,7754,4592,7823,4630,7884,4681,7935,4742,7973,4811,7998,4886,8007,4961,7998,5030,7973,5091,7935,5142,7884,5162,7852,4717,7852,4712,7847,4712,7717,4690,7717,4686,7712,4686,7563,4690,7558,4821,7558,4821,7509,4825,7504,5161,7504,5142,7473,5091,7422,5030,7384,4961,7359,4886,7350xm5161,7504l4948,7504,4953,7509,4953,7558,5083,7558,5088,7563,5088,7570,5087,7705,5087,7712,5082,7717,5059,7717,5059,7847,5054,7852,5162,7852,5180,7823,5205,7754,5214,7678,5205,7603,5181,7534,5161,7504xe" filled="true" fillcolor="#ff5050" stroked="false">
              <v:path arrowok="t"/>
              <v:fill type="solid"/>
            </v:shape>
            <v:shape style="position:absolute;left:7121;top:7502;width:361;height:298" type="#_x0000_t75" stroked="false">
              <v:imagedata r:id="rId40" o:title=""/>
            </v:shape>
            <v:shape style="position:absolute;left:6968;top:7331;width:663;height:642" coordorigin="6969,7331" coordsize="663,642" path="m7300,7331l7224,7340,7154,7364,7093,7402,7041,7451,7002,7511,6978,7579,6969,7652,6978,7726,7003,7794,7042,7853,7093,7903,7155,7941,7224,7965,7300,7973,7376,7965,7445,7941,7507,7903,7559,7853,7579,7822,7129,7822,7125,7817,7125,7690,7102,7690,7098,7685,7098,7539,7102,7535,7234,7535,7234,7486,7239,7482,7579,7482,7559,7451,7508,7402,7446,7364,7376,7340,7300,7331xm7579,7482l7363,7482,7368,7486,7368,7535,7500,7535,7504,7539,7504,7546,7503,7678,7503,7685,7499,7690,7475,7690,7475,7817,7471,7822,7579,7822,7598,7794,7623,7726,7632,7652,7623,7579,7598,7511,7579,7482xe" filled="true" fillcolor="#ff5050" stroked="false">
              <v:path arrowok="t"/>
              <v:fill type="solid"/>
            </v:shape>
            <v:shape style="position:absolute;left:7295;top:6202;width:349;height:298" type="#_x0000_t75" stroked="false">
              <v:imagedata r:id="rId41" o:title=""/>
            </v:shape>
            <v:shape style="position:absolute;left:7147;top:6028;width:644;height:645" coordorigin="7148,6028" coordsize="644,645" path="m7469,6028l7395,6037,7328,6061,7268,6099,7218,6149,7180,6209,7156,6277,7148,6351,7156,6425,7181,6492,7219,6552,7268,6602,7328,6640,7396,6664,7469,6673,7543,6664,7611,6640,7670,6602,7720,6552,7741,6521,7303,6521,7299,6516,7299,6388,7277,6388,7273,6384,7273,6237,7277,6233,7406,6233,7406,6184,7410,6179,7740,6179,7721,6149,7671,6099,7611,6061,7543,6037,7469,6028xm7740,6179l7531,6179,7535,6184,7535,6233,7663,6233,7668,6237,7668,6244,7667,6377,7667,6384,7662,6388,7640,6388,7640,6516,7635,6521,7741,6521,7759,6492,7783,6425,7792,6351,7783,6277,7759,6209,7740,6179xe" filled="true" fillcolor="#ff5050" stroked="false">
              <v:path arrowok="t"/>
              <v:fill type="solid"/>
            </v:shape>
            <v:shape style="position:absolute;left:5905;top:6958;width:361;height:302" type="#_x0000_t75" stroked="false">
              <v:imagedata r:id="rId42" o:title=""/>
            </v:shape>
            <v:shape style="position:absolute;left:5755;top:6779;width:661;height:659" coordorigin="5755,6780" coordsize="661,659" path="m6085,6780l6009,6788,5940,6813,5878,6852,5827,6903,5789,6964,5764,7033,5755,7109,5764,7185,5789,7254,5828,7315,5879,7366,5940,7405,6010,7430,6085,7438,6161,7430,6230,7405,6291,7366,6343,7315,6363,7283,5915,7283,5910,7278,5910,7147,5888,7147,5883,7143,5883,6993,5888,6988,6020,6988,6020,6939,6024,6934,6363,6934,6343,6903,6292,6852,6231,6813,6161,6788,6085,6780xm6363,6934l6148,6934,6153,6939,6153,6988,6284,6988,6289,6993,6289,7000,6288,7109,6288,7143,6283,7147,6260,7147,6260,7278,6255,7283,6363,7283,6382,7254,6407,7185,6416,7109,6407,7033,6382,6964,6363,6934xe" filled="true" fillcolor="#ff5050" stroked="false">
              <v:path arrowok="t"/>
              <v:fill type="solid"/>
            </v:shape>
            <v:shape style="position:absolute;left:5106;top:1294;width:699;height:680" coordorigin="5107,1295" coordsize="699,680" path="m5456,1295l5376,1304,5302,1329,5237,1370,5183,1422,5142,1485,5116,1557,5107,1635,5116,1713,5142,1785,5183,1848,5238,1900,5302,1940,5376,1966,5456,1975,5536,1966,5610,1940,5675,1900,5729,1847,5740,1830,5376,1830,5365,1828,5218,1765,5213,1752,5217,1739,5222,1728,5233,1719,5246,1713,5263,1712,5404,1712,5405,1710,5419,1703,5435,1696,5451,1690,5461,1673,5362,1673,5360,1672,5357,1670,5271,1587,5254,1562,5247,1535,5251,1507,5265,1483,5276,1473,5288,1465,5302,1461,5317,1459,5753,1459,5729,1422,5675,1370,5610,1329,5536,1304,5456,1295xm5794,1720l5693,1720,5698,1725,5698,1739,5693,1744,5681,1744,5670,1745,5659,1747,5648,1751,5639,1756,5550,1814,5537,1821,5523,1826,5508,1829,5493,1830,5740,1830,5770,1784,5794,1720xm5249,1736l5241,1743,5240,1747,5240,1749,5243,1750,5364,1803,5371,1807,5379,1808,5493,1808,5504,1807,5515,1804,5526,1800,5536,1794,5540,1792,5383,1792,5376,1783,5375,1779,5372,1774,5371,1769,5371,1763,5260,1737,5249,1736xm5797,1704l5555,1704,5558,1710,5562,1715,5562,1724,5556,1727,5503,1767,5491,1773,5478,1775,5412,1790,5402,1792,5540,1792,5625,1737,5638,1730,5652,1724,5666,1721,5681,1720,5794,1720,5796,1713,5797,1704xm5802,1608l5688,1608,5693,1613,5693,1627,5688,1632,5560,1632,5524,1645,5496,1669,5478,1694,5472,1705,5471,1708,5468,1710,5466,1712,5450,1718,5434,1724,5421,1732,5409,1739,5401,1745,5397,1755,5396,1762,5396,1767,5397,1768,5399,1769,5405,1767,5473,1752,5482,1750,5491,1746,5498,1740,5538,1710,5546,1704,5797,1704,5805,1635,5802,1608xm5404,1712l5265,1712,5377,1738,5381,1731,5387,1724,5393,1719,5404,1712xm5753,1459l5413,1459,5427,1461,5441,1466,5454,1473,5465,1483,5478,1507,5482,1534,5476,1561,5461,1585,5374,1670,5372,1672,5370,1673,5461,1673,5464,1670,5486,1643,5518,1619,5558,1608,5802,1608,5796,1557,5770,1485,5753,1459xm5413,1459l5317,1459,5330,1460,5342,1464,5354,1469,5365,1477,5376,1469,5387,1464,5400,1460,5413,1459xe" filled="true" fillcolor="#ec8a00" stroked="false">
              <v:path arrowok="t"/>
              <v:fill type="solid"/>
            </v:shape>
            <v:rect style="position:absolute;left:9754;top:1235;width:60;height:79" filled="true" fillcolor="#ff9966" stroked="false">
              <v:fill type="solid"/>
            </v:rect>
            <v:shape style="position:absolute;left:9768;top:1130;width:29;height:29" coordorigin="9768,1131" coordsize="29,29" path="m9791,1131l9775,1131,9768,1137,9768,1153,9775,1159,9791,1159,9797,1153,9797,1137,9791,1131xe" filled="true" fillcolor="#ff9966" stroked="false">
              <v:path arrowok="t"/>
              <v:fill type="solid"/>
            </v:shape>
            <v:shape style="position:absolute;left:9432;top:959;width:699;height:678" coordorigin="9432,960" coordsize="699,678" path="m9782,960l9701,968,9628,994,9563,1034,9509,1087,9468,1149,9441,1221,9432,1298,9441,1376,9468,1447,9509,1510,9563,1563,9628,1603,9702,1628,9782,1637,9862,1628,9935,1603,10000,1563,10054,1510,10080,1471,9627,1471,9622,1466,9622,1383,9617,1382,9612,1377,9612,1297,9617,1292,9728,1292,9728,1281,9653,1281,9642,1279,9632,1273,9626,1264,9624,1253,9626,1242,9632,1233,9642,1226,9653,1224,9728,1224,9728,1217,9733,1212,10119,1212,10108,1182,9783,1182,9768,1179,9756,1171,9748,1159,9745,1145,9748,1131,9756,1119,9768,1111,9783,1108,10069,1108,10055,1087,10000,1034,9936,994,9862,968,9782,960xm9658,1383l9647,1383,9647,1466,9642,1471,9663,1471,9658,1466,9658,1383xm9728,1292l9687,1292,9691,1297,9691,1371,9693,1371,9693,1377,9689,1382,9683,1383,9683,1466,9678,1471,9748,1471,9743,1466,9743,1338,9733,1338,9728,1333,9728,1292xm9798,1338l9768,1338,9768,1466,9763,1471,9803,1471,9798,1466,9798,1338xm10119,1212l9832,1212,9837,1217,9837,1333,9832,1338,9822,1338,9822,1466,9817,1471,9885,1471,9880,1466,9880,1398,9878,1396,9875,1396,9874,1394,9872,1392,9871,1388,9872,1384,9889,1301,9890,1295,9895,1291,10130,1291,10129,1281,9910,1281,9899,1279,9889,1273,9883,1264,9880,1253,9883,1242,9889,1233,9899,1226,9910,1224,10122,1224,10122,1221,10119,1212xm9916,1399l9905,1399,9905,1466,9900,1471,9921,1471,9916,1466,9916,1399xm10130,1291l9925,1291,9930,1295,9931,1301,9949,1384,9949,1392,9947,1394,9946,1396,9943,1396,9941,1398,9941,1466,9936,1471,10080,1471,10095,1447,10122,1376,10131,1298,10130,1291xm9728,1224l9653,1224,9665,1226,9674,1233,9681,1242,9683,1253,9681,1264,9674,1273,9665,1279,9653,1281,9728,1281,9728,1224xm10122,1224l9910,1224,9921,1226,9931,1233,9937,1242,9940,1253,9937,1264,9931,1273,9921,1279,9910,1281,10129,1281,10122,1224xm10069,1108l9783,1108,9798,1111,9810,1119,9818,1131,9821,1145,9818,1159,9810,1171,9798,1179,9783,1182,10108,1182,10096,1149,10069,1108xe" filled="true" fillcolor="#ff9966" stroked="false">
              <v:path arrowok="t"/>
              <v:fill type="solid"/>
            </v:shape>
            <v:shape style="position:absolute;left:4584;top:1250;width:325;height:168" type="#_x0000_t202" filled="false" stroked="false">
              <v:textbox inset="0,0,0,0">
                <w:txbxContent>
                  <w:p>
                    <w:pPr>
                      <w:spacing w:before="8"/>
                      <w:ind w:left="0" w:right="0" w:firstLine="0"/>
                      <w:jc w:val="left"/>
                      <w:rPr>
                        <w:b/>
                        <w:sz w:val="13"/>
                      </w:rPr>
                    </w:pPr>
                    <w:r>
                      <w:rPr>
                        <w:b/>
                        <w:color w:val="FBB324"/>
                        <w:w w:val="105"/>
                        <w:sz w:val="13"/>
                      </w:rPr>
                      <w:t>DoE</w:t>
                    </w:r>
                  </w:p>
                </w:txbxContent>
              </v:textbox>
              <w10:wrap type="none"/>
            </v:shape>
            <v:shape style="position:absolute;left:9567;top:1700;width:428;height:168" type="#_x0000_t202" filled="false" stroked="false">
              <v:textbox inset="0,0,0,0">
                <w:txbxContent>
                  <w:p>
                    <w:pPr>
                      <w:spacing w:before="8"/>
                      <w:ind w:left="0" w:right="0" w:firstLine="0"/>
                      <w:jc w:val="left"/>
                      <w:rPr>
                        <w:b/>
                        <w:sz w:val="13"/>
                      </w:rPr>
                    </w:pPr>
                    <w:r>
                      <w:rPr>
                        <w:b/>
                        <w:color w:val="FF9966"/>
                        <w:w w:val="105"/>
                        <w:sz w:val="13"/>
                      </w:rPr>
                      <w:t>QFCC</w:t>
                    </w:r>
                  </w:p>
                </w:txbxContent>
              </v:textbox>
              <w10:wrap type="none"/>
            </v:shape>
            <v:shape style="position:absolute;left:3510;top:1846;width:338;height:168" type="#_x0000_t202" filled="false" stroked="false">
              <v:textbox inset="0,0,0,0">
                <w:txbxContent>
                  <w:p>
                    <w:pPr>
                      <w:spacing w:before="8"/>
                      <w:ind w:left="0" w:right="0" w:firstLine="0"/>
                      <w:jc w:val="left"/>
                      <w:rPr>
                        <w:b/>
                        <w:sz w:val="13"/>
                      </w:rPr>
                    </w:pPr>
                    <w:r>
                      <w:rPr>
                        <w:b/>
                        <w:color w:val="FBB324"/>
                        <w:w w:val="105"/>
                        <w:sz w:val="13"/>
                      </w:rPr>
                      <w:t>NCC</w:t>
                    </w:r>
                  </w:p>
                </w:txbxContent>
              </v:textbox>
              <w10:wrap type="none"/>
            </v:shape>
            <v:shape style="position:absolute;left:5163;top:2049;width:439;height:168" type="#_x0000_t202" filled="false" stroked="false">
              <v:textbox inset="0,0,0,0">
                <w:txbxContent>
                  <w:p>
                    <w:pPr>
                      <w:spacing w:before="8"/>
                      <w:ind w:left="0" w:right="0" w:firstLine="0"/>
                      <w:jc w:val="left"/>
                      <w:rPr>
                        <w:b/>
                        <w:sz w:val="13"/>
                      </w:rPr>
                    </w:pPr>
                    <w:r>
                      <w:rPr>
                        <w:b/>
                        <w:color w:val="EC8A00"/>
                        <w:w w:val="105"/>
                        <w:sz w:val="13"/>
                      </w:rPr>
                      <w:t>PHNs</w:t>
                    </w:r>
                  </w:p>
                </w:txbxContent>
              </v:textbox>
              <w10:wrap type="none"/>
            </v:shape>
            <v:shape style="position:absolute;left:6871;top:2279;width:531;height:335" type="#_x0000_t202" filled="false" stroked="false">
              <v:textbox inset="0,0,0,0">
                <w:txbxContent>
                  <w:p>
                    <w:pPr>
                      <w:spacing w:line="252" w:lineRule="auto" w:before="8"/>
                      <w:ind w:left="0" w:right="8" w:firstLine="35"/>
                      <w:jc w:val="left"/>
                      <w:rPr>
                        <w:b/>
                        <w:sz w:val="13"/>
                      </w:rPr>
                    </w:pPr>
                    <w:r>
                      <w:rPr>
                        <w:b/>
                        <w:color w:val="EC8A00"/>
                        <w:w w:val="105"/>
                        <w:sz w:val="13"/>
                      </w:rPr>
                      <w:t>Allied Health</w:t>
                    </w:r>
                  </w:p>
                </w:txbxContent>
              </v:textbox>
              <w10:wrap type="none"/>
            </v:shape>
            <v:shape style="position:absolute;left:8137;top:2181;width:444;height:168" type="#_x0000_t202" filled="false" stroked="false">
              <v:textbox inset="0,0,0,0">
                <w:txbxContent>
                  <w:p>
                    <w:pPr>
                      <w:spacing w:before="8"/>
                      <w:ind w:left="0" w:right="0" w:firstLine="0"/>
                      <w:jc w:val="left"/>
                      <w:rPr>
                        <w:b/>
                        <w:sz w:val="13"/>
                      </w:rPr>
                    </w:pPr>
                    <w:r>
                      <w:rPr>
                        <w:b/>
                        <w:color w:val="F05B2C"/>
                        <w:w w:val="105"/>
                        <w:sz w:val="13"/>
                      </w:rPr>
                      <w:t>Carer</w:t>
                    </w:r>
                  </w:p>
                </w:txbxContent>
              </v:textbox>
              <w10:wrap type="none"/>
            </v:shape>
            <v:shape style="position:absolute;left:4029;top:2776;width:923;height:168" type="#_x0000_t202" filled="false" stroked="false">
              <v:textbox inset="0,0,0,0">
                <w:txbxContent>
                  <w:p>
                    <w:pPr>
                      <w:spacing w:before="8"/>
                      <w:ind w:left="0" w:right="0" w:firstLine="0"/>
                      <w:jc w:val="left"/>
                      <w:rPr>
                        <w:b/>
                        <w:sz w:val="13"/>
                      </w:rPr>
                    </w:pPr>
                    <w:r>
                      <w:rPr>
                        <w:b/>
                        <w:color w:val="FBB324"/>
                        <w:w w:val="105"/>
                        <w:sz w:val="13"/>
                      </w:rPr>
                      <w:t>DSDSATSIP</w:t>
                    </w:r>
                  </w:p>
                </w:txbxContent>
              </v:textbox>
              <w10:wrap type="none"/>
            </v:shape>
            <v:shape style="position:absolute;left:2273;top:3078;width:527;height:168" type="#_x0000_t202" filled="false" stroked="false">
              <v:textbox inset="0,0,0,0">
                <w:txbxContent>
                  <w:p>
                    <w:pPr>
                      <w:spacing w:before="8"/>
                      <w:ind w:left="0" w:right="0" w:firstLine="0"/>
                      <w:jc w:val="left"/>
                      <w:rPr>
                        <w:b/>
                        <w:sz w:val="13"/>
                      </w:rPr>
                    </w:pPr>
                    <w:r>
                      <w:rPr>
                        <w:b/>
                        <w:color w:val="FBB324"/>
                        <w:w w:val="105"/>
                        <w:sz w:val="13"/>
                      </w:rPr>
                      <w:t>DESBT</w:t>
                    </w:r>
                  </w:p>
                </w:txbxContent>
              </v:textbox>
              <w10:wrap type="none"/>
            </v:shape>
            <v:shape style="position:absolute;left:5566;top:3090;width:818;height:168" type="#_x0000_t202" filled="false" stroked="false">
              <v:textbox inset="0,0,0,0">
                <w:txbxContent>
                  <w:p>
                    <w:pPr>
                      <w:spacing w:before="8"/>
                      <w:ind w:left="0" w:right="0" w:firstLine="0"/>
                      <w:jc w:val="left"/>
                      <w:rPr>
                        <w:b/>
                        <w:sz w:val="13"/>
                      </w:rPr>
                    </w:pPr>
                    <w:r>
                      <w:rPr>
                        <w:b/>
                        <w:color w:val="EC8A00"/>
                        <w:w w:val="105"/>
                        <w:sz w:val="13"/>
                      </w:rPr>
                      <w:t>QATSICPP</w:t>
                    </w:r>
                  </w:p>
                </w:txbxContent>
              </v:textbox>
              <w10:wrap type="none"/>
            </v:shape>
            <v:shape style="position:absolute;left:3123;top:3480;width:561;height:168" type="#_x0000_t202" filled="false" stroked="false">
              <v:textbox inset="0,0,0,0">
                <w:txbxContent>
                  <w:p>
                    <w:pPr>
                      <w:spacing w:before="8"/>
                      <w:ind w:left="0" w:right="0" w:firstLine="0"/>
                      <w:jc w:val="left"/>
                      <w:rPr>
                        <w:b/>
                        <w:sz w:val="13"/>
                      </w:rPr>
                    </w:pPr>
                    <w:r>
                      <w:rPr>
                        <w:b/>
                        <w:color w:val="FBB324"/>
                        <w:w w:val="105"/>
                        <w:sz w:val="13"/>
                      </w:rPr>
                      <w:t>DCHDE</w:t>
                    </w:r>
                  </w:p>
                </w:txbxContent>
              </v:textbox>
              <w10:wrap type="none"/>
            </v:shape>
            <v:shape style="position:absolute;left:9018;top:3446;width:538;height:168" type="#_x0000_t202" filled="false" stroked="false">
              <v:textbox inset="0,0,0,0">
                <w:txbxContent>
                  <w:p>
                    <w:pPr>
                      <w:spacing w:before="8"/>
                      <w:ind w:left="0" w:right="0" w:firstLine="0"/>
                      <w:jc w:val="left"/>
                      <w:rPr>
                        <w:b/>
                        <w:sz w:val="13"/>
                      </w:rPr>
                    </w:pPr>
                    <w:r>
                      <w:rPr>
                        <w:b/>
                        <w:color w:val="F05B2C"/>
                        <w:w w:val="105"/>
                        <w:sz w:val="13"/>
                      </w:rPr>
                      <w:t>Parent</w:t>
                    </w:r>
                  </w:p>
                </w:txbxContent>
              </v:textbox>
              <w10:wrap type="none"/>
            </v:shape>
            <v:shape style="position:absolute;left:6993;top:3744;width:535;height:168" type="#_x0000_t202" filled="false" stroked="false">
              <v:textbox inset="0,0,0,0">
                <w:txbxContent>
                  <w:p>
                    <w:pPr>
                      <w:spacing w:before="8"/>
                      <w:ind w:left="0" w:right="0" w:firstLine="0"/>
                      <w:jc w:val="left"/>
                      <w:rPr>
                        <w:b/>
                        <w:sz w:val="13"/>
                      </w:rPr>
                    </w:pPr>
                    <w:r>
                      <w:rPr>
                        <w:b/>
                        <w:color w:val="F05B2C"/>
                        <w:w w:val="105"/>
                        <w:sz w:val="13"/>
                      </w:rPr>
                      <w:t>Family</w:t>
                    </w:r>
                  </w:p>
                </w:txbxContent>
              </v:textbox>
              <w10:wrap type="none"/>
            </v:shape>
            <v:shape style="position:absolute;left:4015;top:4164;width:652;height:168" type="#_x0000_t202" filled="false" stroked="false">
              <v:textbox inset="0,0,0,0">
                <w:txbxContent>
                  <w:p>
                    <w:pPr>
                      <w:spacing w:before="8"/>
                      <w:ind w:left="0" w:right="0" w:firstLine="0"/>
                      <w:jc w:val="left"/>
                      <w:rPr>
                        <w:b/>
                        <w:sz w:val="13"/>
                      </w:rPr>
                    </w:pPr>
                    <w:r>
                      <w:rPr>
                        <w:b/>
                        <w:color w:val="FBB324"/>
                        <w:w w:val="105"/>
                        <w:sz w:val="13"/>
                      </w:rPr>
                      <w:t>DCYJMA</w:t>
                    </w:r>
                  </w:p>
                </w:txbxContent>
              </v:textbox>
              <w10:wrap type="none"/>
            </v:shape>
            <v:shape style="position:absolute;left:8176;top:4057;width:313;height:194" type="#_x0000_t202" filled="false" stroked="false">
              <v:textbox inset="0,0,0,0">
                <w:txbxContent>
                  <w:p>
                    <w:pPr>
                      <w:spacing w:line="194" w:lineRule="exact" w:before="0"/>
                      <w:ind w:left="0" w:right="0" w:firstLine="0"/>
                      <w:jc w:val="left"/>
                      <w:rPr>
                        <w:b/>
                        <w:sz w:val="16"/>
                      </w:rPr>
                    </w:pPr>
                    <w:r>
                      <w:rPr>
                        <w:b/>
                        <w:color w:val="F05B2C"/>
                        <w:sz w:val="16"/>
                      </w:rPr>
                      <w:t>Kin</w:t>
                    </w:r>
                  </w:p>
                </w:txbxContent>
              </v:textbox>
              <w10:wrap type="none"/>
            </v:shape>
            <v:shape style="position:absolute;left:1826;top:4493;width:709;height:335" type="#_x0000_t202" filled="false" stroked="false">
              <v:textbox inset="0,0,0,0">
                <w:txbxContent>
                  <w:p>
                    <w:pPr>
                      <w:spacing w:line="157" w:lineRule="exact" w:before="8"/>
                      <w:ind w:left="3" w:right="18" w:firstLine="0"/>
                      <w:jc w:val="center"/>
                      <w:rPr>
                        <w:b/>
                        <w:sz w:val="13"/>
                      </w:rPr>
                    </w:pPr>
                    <w:r>
                      <w:rPr>
                        <w:b/>
                        <w:color w:val="FBB324"/>
                        <w:w w:val="105"/>
                        <w:sz w:val="13"/>
                      </w:rPr>
                      <w:t>Qld</w:t>
                    </w:r>
                  </w:p>
                  <w:p>
                    <w:pPr>
                      <w:spacing w:line="169" w:lineRule="exact" w:before="0"/>
                      <w:ind w:left="-1" w:right="18" w:firstLine="0"/>
                      <w:jc w:val="center"/>
                      <w:rPr>
                        <w:b/>
                        <w:sz w:val="14"/>
                      </w:rPr>
                    </w:pPr>
                    <w:r>
                      <w:rPr>
                        <w:b/>
                        <w:color w:val="FBB324"/>
                        <w:spacing w:val="-1"/>
                        <w:sz w:val="14"/>
                      </w:rPr>
                      <w:t>Treasury</w:t>
                    </w:r>
                  </w:p>
                </w:txbxContent>
              </v:textbox>
              <w10:wrap type="none"/>
            </v:shape>
            <v:shape style="position:absolute;left:3110;top:4790;width:430;height:169" type="#_x0000_t202" filled="false" stroked="false">
              <v:textbox inset="0,0,0,0">
                <w:txbxContent>
                  <w:p>
                    <w:pPr>
                      <w:spacing w:line="168" w:lineRule="exact" w:before="0"/>
                      <w:ind w:left="0" w:right="0" w:firstLine="0"/>
                      <w:jc w:val="left"/>
                      <w:rPr>
                        <w:b/>
                        <w:sz w:val="14"/>
                      </w:rPr>
                    </w:pPr>
                    <w:r>
                      <w:rPr>
                        <w:b/>
                        <w:color w:val="FBB324"/>
                        <w:sz w:val="14"/>
                      </w:rPr>
                      <w:t>NIAA</w:t>
                    </w:r>
                  </w:p>
                </w:txbxContent>
              </v:textbox>
              <w10:wrap type="none"/>
            </v:shape>
            <v:shape style="position:absolute;left:5146;top:4701;width:1371;height:432" type="#_x0000_t202" filled="false" stroked="false">
              <v:textbox inset="0,0,0,0">
                <w:txbxContent>
                  <w:p>
                    <w:pPr>
                      <w:spacing w:line="215" w:lineRule="exact" w:before="0"/>
                      <w:ind w:left="38" w:right="0" w:firstLine="0"/>
                      <w:jc w:val="left"/>
                      <w:rPr>
                        <w:b/>
                        <w:sz w:val="18"/>
                      </w:rPr>
                    </w:pPr>
                    <w:r>
                      <w:rPr>
                        <w:b/>
                        <w:color w:val="C00000"/>
                        <w:sz w:val="18"/>
                      </w:rPr>
                      <w:t>Children</w:t>
                    </w:r>
                    <w:r>
                      <w:rPr>
                        <w:b/>
                        <w:color w:val="C00000"/>
                        <w:spacing w:val="-9"/>
                        <w:sz w:val="18"/>
                      </w:rPr>
                      <w:t> </w:t>
                    </w:r>
                    <w:r>
                      <w:rPr>
                        <w:b/>
                        <w:color w:val="C00000"/>
                        <w:sz w:val="18"/>
                      </w:rPr>
                      <w:t>and</w:t>
                    </w:r>
                  </w:p>
                  <w:p>
                    <w:pPr>
                      <w:spacing w:line="216" w:lineRule="exact" w:before="0"/>
                      <w:ind w:left="0" w:right="0" w:firstLine="0"/>
                      <w:jc w:val="left"/>
                      <w:rPr>
                        <w:b/>
                        <w:sz w:val="18"/>
                      </w:rPr>
                    </w:pPr>
                    <w:r>
                      <w:rPr>
                        <w:b/>
                        <w:color w:val="C00000"/>
                        <w:sz w:val="18"/>
                      </w:rPr>
                      <w:t>young</w:t>
                    </w:r>
                    <w:r>
                      <w:rPr>
                        <w:b/>
                        <w:color w:val="C00000"/>
                        <w:spacing w:val="-16"/>
                        <w:sz w:val="18"/>
                      </w:rPr>
                      <w:t> </w:t>
                    </w:r>
                    <w:r>
                      <w:rPr>
                        <w:b/>
                        <w:color w:val="C00000"/>
                        <w:sz w:val="18"/>
                      </w:rPr>
                      <w:t>people</w:t>
                    </w:r>
                  </w:p>
                </w:txbxContent>
              </v:textbox>
              <w10:wrap type="none"/>
            </v:shape>
            <v:shape style="position:absolute;left:9213;top:4712;width:902;height:335" type="#_x0000_t202" filled="false" stroked="false">
              <v:textbox inset="0,0,0,0">
                <w:txbxContent>
                  <w:p>
                    <w:pPr>
                      <w:spacing w:line="252" w:lineRule="auto" w:before="8"/>
                      <w:ind w:left="152" w:right="9" w:hanging="153"/>
                      <w:jc w:val="left"/>
                      <w:rPr>
                        <w:b/>
                        <w:sz w:val="13"/>
                      </w:rPr>
                    </w:pPr>
                    <w:r>
                      <w:rPr>
                        <w:b/>
                        <w:color w:val="F05B2C"/>
                        <w:w w:val="105"/>
                        <w:sz w:val="13"/>
                      </w:rPr>
                      <w:t>Community leaders</w:t>
                    </w:r>
                  </w:p>
                </w:txbxContent>
              </v:textbox>
              <w10:wrap type="none"/>
            </v:shape>
            <v:shape style="position:absolute;left:8346;top:5384;width:524;height:168" type="#_x0000_t202" filled="false" stroked="false">
              <v:textbox inset="0,0,0,0">
                <w:txbxContent>
                  <w:p>
                    <w:pPr>
                      <w:spacing w:before="8"/>
                      <w:ind w:left="0" w:right="0" w:firstLine="0"/>
                      <w:jc w:val="left"/>
                      <w:rPr>
                        <w:b/>
                        <w:sz w:val="13"/>
                      </w:rPr>
                    </w:pPr>
                    <w:r>
                      <w:rPr>
                        <w:b/>
                        <w:color w:val="F05B2C"/>
                        <w:w w:val="105"/>
                        <w:sz w:val="13"/>
                      </w:rPr>
                      <w:t>QFCFB</w:t>
                    </w:r>
                  </w:p>
                </w:txbxContent>
              </v:textbox>
              <w10:wrap type="none"/>
            </v:shape>
            <v:shape style="position:absolute;left:4418;top:5551;width:253;height:168" type="#_x0000_t202" filled="false" stroked="false">
              <v:textbox inset="0,0,0,0">
                <w:txbxContent>
                  <w:p>
                    <w:pPr>
                      <w:spacing w:before="8"/>
                      <w:ind w:left="0" w:right="0" w:firstLine="0"/>
                      <w:jc w:val="left"/>
                      <w:rPr>
                        <w:b/>
                        <w:sz w:val="13"/>
                      </w:rPr>
                    </w:pPr>
                    <w:r>
                      <w:rPr>
                        <w:b/>
                        <w:color w:val="FBB324"/>
                        <w:w w:val="105"/>
                        <w:sz w:val="13"/>
                      </w:rPr>
                      <w:t>QH</w:t>
                    </w:r>
                  </w:p>
                </w:txbxContent>
              </v:textbox>
              <w10:wrap type="none"/>
            </v:shape>
            <v:shape style="position:absolute;left:6971;top:5552;width:505;height:168" type="#_x0000_t202" filled="false" stroked="false">
              <v:textbox inset="0,0,0,0">
                <w:txbxContent>
                  <w:p>
                    <w:pPr>
                      <w:spacing w:before="8"/>
                      <w:ind w:left="0" w:right="0" w:firstLine="0"/>
                      <w:jc w:val="left"/>
                      <w:rPr>
                        <w:b/>
                        <w:sz w:val="13"/>
                      </w:rPr>
                    </w:pPr>
                    <w:r>
                      <w:rPr>
                        <w:b/>
                        <w:color w:val="F05B2C"/>
                        <w:w w:val="105"/>
                        <w:sz w:val="13"/>
                      </w:rPr>
                      <w:t>Elders</w:t>
                    </w:r>
                  </w:p>
                </w:txbxContent>
              </v:textbox>
              <w10:wrap type="none"/>
            </v:shape>
            <v:shape style="position:absolute;left:2023;top:5891;width:431;height:168" type="#_x0000_t202" filled="false" stroked="false">
              <v:textbox inset="0,0,0,0">
                <w:txbxContent>
                  <w:p>
                    <w:pPr>
                      <w:spacing w:before="8"/>
                      <w:ind w:left="0" w:right="0" w:firstLine="0"/>
                      <w:jc w:val="left"/>
                      <w:rPr>
                        <w:b/>
                        <w:sz w:val="13"/>
                      </w:rPr>
                    </w:pPr>
                    <w:r>
                      <w:rPr>
                        <w:b/>
                        <w:color w:val="FBB324"/>
                        <w:w w:val="105"/>
                        <w:sz w:val="13"/>
                      </w:rPr>
                      <w:t>DJAG</w:t>
                    </w:r>
                  </w:p>
                </w:txbxContent>
              </v:textbox>
              <w10:wrap type="none"/>
            </v:shape>
            <v:shape style="position:absolute;left:3237;top:6330;width:320;height:168" type="#_x0000_t202" filled="false" stroked="false">
              <v:textbox inset="0,0,0,0">
                <w:txbxContent>
                  <w:p>
                    <w:pPr>
                      <w:spacing w:before="8"/>
                      <w:ind w:left="0" w:right="0" w:firstLine="0"/>
                      <w:jc w:val="left"/>
                      <w:rPr>
                        <w:b/>
                        <w:sz w:val="13"/>
                      </w:rPr>
                    </w:pPr>
                    <w:r>
                      <w:rPr>
                        <w:b/>
                        <w:color w:val="FBB324"/>
                        <w:w w:val="105"/>
                        <w:sz w:val="13"/>
                      </w:rPr>
                      <w:t>AFP</w:t>
                    </w:r>
                  </w:p>
                </w:txbxContent>
              </v:textbox>
              <w10:wrap type="none"/>
            </v:shape>
            <v:shape style="position:absolute;left:5802;top:6209;width:527;height:168" type="#_x0000_t202" filled="false" stroked="false">
              <v:textbox inset="0,0,0,0">
                <w:txbxContent>
                  <w:p>
                    <w:pPr>
                      <w:spacing w:before="8"/>
                      <w:ind w:left="0" w:right="0" w:firstLine="0"/>
                      <w:jc w:val="left"/>
                      <w:rPr>
                        <w:b/>
                        <w:sz w:val="13"/>
                      </w:rPr>
                    </w:pPr>
                    <w:r>
                      <w:rPr>
                        <w:b/>
                        <w:color w:val="FFCD00"/>
                        <w:w w:val="105"/>
                        <w:sz w:val="13"/>
                      </w:rPr>
                      <w:t>ACCOs</w:t>
                    </w:r>
                  </w:p>
                </w:txbxContent>
              </v:textbox>
              <w10:wrap type="none"/>
            </v:shape>
            <v:shape style="position:absolute;left:4748;top:6700;width:338;height:168" type="#_x0000_t202" filled="false" stroked="false">
              <v:textbox inset="0,0,0,0">
                <w:txbxContent>
                  <w:p>
                    <w:pPr>
                      <w:spacing w:before="8"/>
                      <w:ind w:left="0" w:right="0" w:firstLine="0"/>
                      <w:jc w:val="left"/>
                      <w:rPr>
                        <w:b/>
                        <w:sz w:val="13"/>
                      </w:rPr>
                    </w:pPr>
                    <w:r>
                      <w:rPr>
                        <w:b/>
                        <w:color w:val="FBB324"/>
                        <w:w w:val="105"/>
                        <w:sz w:val="13"/>
                      </w:rPr>
                      <w:t>QPS</w:t>
                    </w:r>
                  </w:p>
                </w:txbxContent>
              </v:textbox>
              <w10:wrap type="none"/>
            </v:shape>
            <v:shape style="position:absolute;left:6903;top:6710;width:1096;height:145" type="#_x0000_t202" filled="false" stroked="false">
              <v:textbox inset="0,0,0,0">
                <w:txbxContent>
                  <w:p>
                    <w:pPr>
                      <w:spacing w:line="144" w:lineRule="exact" w:before="0"/>
                      <w:ind w:left="0" w:right="0" w:firstLine="0"/>
                      <w:jc w:val="left"/>
                      <w:rPr>
                        <w:b/>
                        <w:sz w:val="12"/>
                      </w:rPr>
                    </w:pPr>
                    <w:r>
                      <w:rPr>
                        <w:b/>
                        <w:color w:val="FF5050"/>
                        <w:sz w:val="12"/>
                      </w:rPr>
                      <w:t>Private industry</w:t>
                    </w:r>
                  </w:p>
                </w:txbxContent>
              </v:textbox>
              <w10:wrap type="none"/>
            </v:shape>
            <v:shape style="position:absolute;left:8772;top:6610;width:482;height:169" type="#_x0000_t202" filled="false" stroked="false">
              <v:textbox inset="0,0,0,0">
                <w:txbxContent>
                  <w:p>
                    <w:pPr>
                      <w:spacing w:line="168" w:lineRule="exact" w:before="0"/>
                      <w:ind w:left="0" w:right="0" w:firstLine="0"/>
                      <w:jc w:val="left"/>
                      <w:rPr>
                        <w:b/>
                        <w:sz w:val="14"/>
                      </w:rPr>
                    </w:pPr>
                    <w:r>
                      <w:rPr>
                        <w:b/>
                        <w:color w:val="F05B2C"/>
                        <w:sz w:val="14"/>
                      </w:rPr>
                      <w:t>Media</w:t>
                    </w:r>
                  </w:p>
                </w:txbxContent>
              </v:textbox>
              <w10:wrap type="none"/>
            </v:shape>
            <v:shape style="position:absolute;left:3133;top:7431;width:824;height:168" type="#_x0000_t202" filled="false" stroked="false">
              <v:textbox inset="0,0,0,0">
                <w:txbxContent>
                  <w:p>
                    <w:pPr>
                      <w:spacing w:before="8"/>
                      <w:ind w:left="0" w:right="0" w:firstLine="0"/>
                      <w:jc w:val="left"/>
                      <w:rPr>
                        <w:b/>
                        <w:sz w:val="13"/>
                      </w:rPr>
                    </w:pPr>
                    <w:r>
                      <w:rPr>
                        <w:b/>
                        <w:color w:val="FBB324"/>
                        <w:w w:val="105"/>
                        <w:sz w:val="13"/>
                      </w:rPr>
                      <w:t>Politicians</w:t>
                    </w:r>
                  </w:p>
                </w:txbxContent>
              </v:textbox>
              <w10:wrap type="none"/>
            </v:shape>
            <v:shape style="position:absolute;left:5708;top:7474;width:720;height:145" type="#_x0000_t202" filled="false" stroked="false">
              <v:textbox inset="0,0,0,0">
                <w:txbxContent>
                  <w:p>
                    <w:pPr>
                      <w:spacing w:line="144" w:lineRule="exact" w:before="0"/>
                      <w:ind w:left="0" w:right="0" w:firstLine="0"/>
                      <w:jc w:val="left"/>
                      <w:rPr>
                        <w:b/>
                        <w:sz w:val="12"/>
                      </w:rPr>
                    </w:pPr>
                    <w:r>
                      <w:rPr>
                        <w:b/>
                        <w:color w:val="FF5050"/>
                        <w:sz w:val="12"/>
                      </w:rPr>
                      <w:t>Employers</w:t>
                    </w:r>
                  </w:p>
                </w:txbxContent>
              </v:textbox>
              <w10:wrap type="none"/>
            </v:shape>
            <v:shape style="position:absolute;left:4428;top:8042;width:882;height:145" type="#_x0000_t202" filled="false" stroked="false">
              <v:textbox inset="0,0,0,0">
                <w:txbxContent>
                  <w:p>
                    <w:pPr>
                      <w:spacing w:line="144" w:lineRule="exact" w:before="0"/>
                      <w:ind w:left="0" w:right="0" w:firstLine="0"/>
                      <w:jc w:val="left"/>
                      <w:rPr>
                        <w:b/>
                        <w:sz w:val="12"/>
                      </w:rPr>
                    </w:pPr>
                    <w:r>
                      <w:rPr>
                        <w:b/>
                        <w:color w:val="FF5050"/>
                        <w:sz w:val="12"/>
                      </w:rPr>
                      <w:t>Philanthropy</w:t>
                    </w:r>
                  </w:p>
                </w:txbxContent>
              </v:textbox>
              <w10:wrap type="none"/>
            </v:shape>
            <v:shape style="position:absolute;left:7137;top:8010;width:294;height:145" type="#_x0000_t202" filled="false" stroked="false">
              <v:textbox inset="0,0,0,0">
                <w:txbxContent>
                  <w:p>
                    <w:pPr>
                      <w:spacing w:line="144" w:lineRule="exact" w:before="0"/>
                      <w:ind w:left="0" w:right="0" w:firstLine="0"/>
                      <w:jc w:val="left"/>
                      <w:rPr>
                        <w:b/>
                        <w:sz w:val="12"/>
                      </w:rPr>
                    </w:pPr>
                    <w:r>
                      <w:rPr>
                        <w:b/>
                        <w:color w:val="FF5050"/>
                        <w:sz w:val="12"/>
                      </w:rPr>
                      <w:t>VTQ</w:t>
                    </w:r>
                  </w:p>
                </w:txbxContent>
              </v:textbox>
              <w10:wrap type="none"/>
            </v:shape>
            <w10:wrap type="topAndBottom"/>
          </v:group>
        </w:pict>
      </w:r>
    </w:p>
    <w:p>
      <w:pPr>
        <w:pStyle w:val="BodyText"/>
        <w:spacing w:before="8"/>
        <w:rPr>
          <w:sz w:val="16"/>
        </w:rPr>
      </w:pPr>
    </w:p>
    <w:p>
      <w:pPr>
        <w:spacing w:before="0"/>
        <w:ind w:left="700" w:right="0" w:firstLine="0"/>
        <w:jc w:val="left"/>
        <w:rPr>
          <w:sz w:val="16"/>
        </w:rPr>
      </w:pPr>
      <w:r>
        <w:rPr>
          <w:color w:val="75787A"/>
          <w:sz w:val="16"/>
        </w:rPr>
        <w:t>Source: Deloitte Access Economics analysis of </w:t>
      </w:r>
      <w:r>
        <w:rPr>
          <w:i/>
          <w:color w:val="75787A"/>
          <w:sz w:val="16"/>
        </w:rPr>
        <w:t>Our Way </w:t>
      </w:r>
      <w:r>
        <w:rPr>
          <w:color w:val="75787A"/>
          <w:sz w:val="16"/>
        </w:rPr>
        <w:t>workshop feedback</w:t>
      </w:r>
    </w:p>
    <w:p>
      <w:pPr>
        <w:spacing w:line="295" w:lineRule="auto" w:before="45"/>
        <w:ind w:left="700" w:right="1188" w:firstLine="0"/>
        <w:jc w:val="left"/>
        <w:rPr>
          <w:sz w:val="16"/>
        </w:rPr>
      </w:pPr>
      <w:r>
        <w:rPr>
          <w:color w:val="75787A"/>
          <w:sz w:val="16"/>
        </w:rPr>
        <w:t>Note: QFCC has been visually placed outside of the circle to reflect their independent oversight role in the Queensland child protection system</w:t>
      </w:r>
    </w:p>
    <w:p>
      <w:pPr>
        <w:pStyle w:val="BodyText"/>
        <w:spacing w:before="11"/>
        <w:rPr>
          <w:sz w:val="17"/>
        </w:rPr>
      </w:pPr>
    </w:p>
    <w:p>
      <w:pPr>
        <w:spacing w:before="0"/>
        <w:ind w:left="700" w:right="0" w:firstLine="0"/>
        <w:jc w:val="left"/>
        <w:rPr>
          <w:b/>
          <w:sz w:val="18"/>
        </w:rPr>
      </w:pPr>
      <w:r>
        <w:rPr>
          <w:b/>
          <w:color w:val="75787A"/>
          <w:sz w:val="18"/>
        </w:rPr>
        <w:t>Awareness and alignment to </w:t>
      </w:r>
      <w:r>
        <w:rPr>
          <w:b/>
          <w:i/>
          <w:color w:val="75787A"/>
          <w:sz w:val="18"/>
        </w:rPr>
        <w:t>Our Way’s </w:t>
      </w:r>
      <w:r>
        <w:rPr>
          <w:b/>
          <w:color w:val="75787A"/>
          <w:sz w:val="18"/>
        </w:rPr>
        <w:t>vision</w:t>
      </w:r>
    </w:p>
    <w:p>
      <w:pPr>
        <w:pStyle w:val="BodyText"/>
        <w:spacing w:line="264" w:lineRule="auto" w:before="21"/>
        <w:ind w:left="700" w:right="754"/>
      </w:pPr>
      <w:r>
        <w:rPr/>
        <w:t>There is some variation in the extent to which government stakeholders are aware of and perceive strong alignment to the vision of </w:t>
      </w:r>
      <w:r>
        <w:rPr>
          <w:i/>
        </w:rPr>
        <w:t>Our Way</w:t>
      </w:r>
      <w:r>
        <w:rPr/>
        <w:t>. Results from the 2022 network analysis survey indicate that those who work in ACCOs are more likely than government stakeholders to be aware of </w:t>
      </w:r>
      <w:r>
        <w:rPr>
          <w:i/>
        </w:rPr>
        <w:t>Our </w:t>
      </w:r>
      <w:r>
        <w:rPr>
          <w:i/>
        </w:rPr>
        <w:t>Way </w:t>
      </w:r>
      <w:r>
        <w:rPr/>
        <w:t>and their organisations’ role in achieving </w:t>
      </w:r>
      <w:r>
        <w:rPr>
          <w:i/>
        </w:rPr>
        <w:t>Our Way’s </w:t>
      </w:r>
      <w:r>
        <w:rPr/>
        <w:t>objectives. In terms of role, those who are part of frontline service delivery were less likely to demonstrate strong awareness and alignment to the vision compared to survey respondents who are part of central policy and strategy formulation. This is consistently highlighted during consultations, where stakeholders reported inconsistent levels of awareness of </w:t>
      </w:r>
      <w:r>
        <w:rPr>
          <w:i/>
        </w:rPr>
        <w:t>Our Way </w:t>
      </w:r>
      <w:r>
        <w:rPr/>
        <w:t>across different levels of government.</w:t>
      </w:r>
    </w:p>
    <w:p>
      <w:pPr>
        <w:pStyle w:val="BodyText"/>
        <w:spacing w:line="264" w:lineRule="auto"/>
        <w:ind w:left="700" w:right="1046"/>
      </w:pPr>
      <w:r>
        <w:rPr/>
        <w:t>Another key theme is that some frontline agencies do not consider themselves to be part of the </w:t>
      </w:r>
      <w:r>
        <w:rPr>
          <w:i/>
        </w:rPr>
        <w:t>Our Way </w:t>
      </w:r>
      <w:r>
        <w:rPr/>
        <w:t>system, and therefore do not actively engage with the strategy. This has undermined ongoing efforts for effective cross-system collaboration.</w:t>
      </w:r>
    </w:p>
    <w:p>
      <w:pPr>
        <w:pStyle w:val="Heading4"/>
        <w:spacing w:before="164"/>
        <w:ind w:left="700"/>
        <w:rPr>
          <w:i/>
        </w:rPr>
      </w:pPr>
      <w:r>
        <w:rPr>
          <w:color w:val="75787A"/>
        </w:rPr>
        <w:t>Actions and changes to date since the establishment of </w:t>
      </w:r>
      <w:r>
        <w:rPr>
          <w:i/>
          <w:color w:val="75787A"/>
        </w:rPr>
        <w:t>Our Way</w:t>
      </w:r>
    </w:p>
    <w:p>
      <w:pPr>
        <w:pStyle w:val="BodyText"/>
        <w:spacing w:line="264" w:lineRule="auto" w:before="21"/>
        <w:ind w:left="700" w:right="750"/>
      </w:pPr>
      <w:r>
        <w:rPr/>
        <w:t>There is evidence that </w:t>
      </w:r>
      <w:r>
        <w:rPr>
          <w:i/>
        </w:rPr>
        <w:t>Our Way </w:t>
      </w:r>
      <w:r>
        <w:rPr/>
        <w:t>has led to some positive changes in the way organisations make decisions, undertake strategic planning and implement processes which support self-determination</w:t>
      </w:r>
    </w:p>
    <w:p>
      <w:pPr>
        <w:spacing w:after="0" w:line="264" w:lineRule="auto"/>
        <w:sectPr>
          <w:pgSz w:w="11910" w:h="16840"/>
          <w:pgMar w:header="650" w:footer="420" w:top="840" w:bottom="620" w:left="740" w:right="720"/>
        </w:sectPr>
      </w:pPr>
    </w:p>
    <w:p>
      <w:pPr>
        <w:pStyle w:val="BodyText"/>
        <w:rPr>
          <w:sz w:val="20"/>
        </w:rPr>
      </w:pPr>
    </w:p>
    <w:p>
      <w:pPr>
        <w:pStyle w:val="BodyText"/>
        <w:rPr>
          <w:sz w:val="22"/>
        </w:rPr>
      </w:pPr>
    </w:p>
    <w:p>
      <w:pPr>
        <w:pStyle w:val="BodyText"/>
        <w:spacing w:line="264" w:lineRule="auto" w:before="100"/>
        <w:ind w:left="700" w:right="763"/>
      </w:pPr>
      <w:r>
        <w:rPr/>
        <w:t>among Aboriginal and Torres Strait Islander peoples. For example, two-thirds of </w:t>
      </w:r>
      <w:r>
        <w:rPr>
          <w:i/>
        </w:rPr>
        <w:t>Our Way </w:t>
      </w:r>
      <w:r>
        <w:rPr/>
        <w:t>survey respondents (which primarily consist of DCYJMA and ACCO representatives) agreed that their organisation has implemented processes that genuinely provide mechanisms for young people and families to have a say in decisions that affect them, compared to 12 per cent who disagreed.</w:t>
      </w:r>
    </w:p>
    <w:p>
      <w:pPr>
        <w:pStyle w:val="BodyText"/>
        <w:spacing w:line="264" w:lineRule="auto"/>
        <w:ind w:left="700" w:right="1058"/>
      </w:pPr>
      <w:r>
        <w:rPr/>
        <w:t>However, survey responses indicate scope for these changes to take place at a larger scale and across more organisations. Survey respondents who work in strategic and policy development roles were more likely to have changed their ways of working to be aligned with </w:t>
      </w:r>
      <w:r>
        <w:rPr>
          <w:i/>
        </w:rPr>
        <w:t>Our Way’s </w:t>
      </w:r>
      <w:r>
        <w:rPr/>
        <w:t>principles compared to those who directly deliver frontline services.</w:t>
      </w:r>
    </w:p>
    <w:p>
      <w:pPr>
        <w:pStyle w:val="Heading4"/>
        <w:spacing w:before="166"/>
        <w:ind w:left="700"/>
      </w:pPr>
      <w:r>
        <w:rPr>
          <w:color w:val="75787A"/>
        </w:rPr>
        <w:t>Existing collaboration within the </w:t>
      </w:r>
      <w:r>
        <w:rPr>
          <w:i/>
          <w:color w:val="75787A"/>
        </w:rPr>
        <w:t>Our Way </w:t>
      </w:r>
      <w:r>
        <w:rPr>
          <w:color w:val="75787A"/>
        </w:rPr>
        <w:t>system</w:t>
      </w:r>
    </w:p>
    <w:p>
      <w:pPr>
        <w:pStyle w:val="BodyText"/>
        <w:spacing w:line="264" w:lineRule="auto" w:before="21"/>
        <w:ind w:left="700" w:right="730"/>
      </w:pPr>
      <w:r>
        <w:rPr/>
        <w:t>There have been observed changes in collaborative working approaches between government agencies, service providers and Aboriginal and Torres Strait Islander community representatives to enable the implementation of </w:t>
      </w:r>
      <w:r>
        <w:rPr>
          <w:i/>
        </w:rPr>
        <w:t>Our Way</w:t>
      </w:r>
      <w:r>
        <w:rPr/>
        <w:t>. Regular quarterly meetings were perceived to support information sharing among executives across different agencies. Survey respondents (primarily those who work in DCYJMA and ACCOs) cited examples of collaboration with a range of system stakeholders through sharing information (including data), participating in knowledge transfer and the sharing of resources. However, stakeholders who were interviewed said data sharing was an ongoing barrier to community-led decision making. Survey respondents reported that it was less common for collaborations to take place through joint planning and the implementation of collaborative funding models.</w:t>
      </w:r>
    </w:p>
    <w:p>
      <w:pPr>
        <w:pStyle w:val="BodyText"/>
        <w:spacing w:line="264" w:lineRule="auto" w:before="164"/>
        <w:ind w:left="700" w:right="727"/>
      </w:pPr>
      <w:r>
        <w:rPr/>
        <w:t>The survey revealed variation in the frequency of collaboration. There was generally no observed changes in the frequency of collaboration between DCYJMA and other government agencies since the implementation of </w:t>
      </w:r>
      <w:r>
        <w:rPr>
          <w:i/>
        </w:rPr>
        <w:t>Our Way</w:t>
      </w:r>
      <w:r>
        <w:rPr/>
        <w:t>. However, the was an increase in the frequency of collaboration between DCYJMA and Aboriginal and Torres Strait Islander organisations (such as ACCOs and the Queensland Aboriginal and Torres Strait Islander Child Protection Peak (QATSICPP)). Despite increases in the frequency of collaboration, the general consensus among all stakeholders was that the impact of these collaboration was not significant. This indicates scope for more genuine partnerships and meaningful collaboration among different system stakeholders.</w:t>
      </w:r>
    </w:p>
    <w:p>
      <w:pPr>
        <w:pStyle w:val="Heading4"/>
        <w:spacing w:before="166"/>
        <w:ind w:left="700"/>
      </w:pPr>
      <w:r>
        <w:rPr>
          <w:color w:val="75787A"/>
        </w:rPr>
        <w:t>Implementation enablers and barriers</w:t>
      </w:r>
    </w:p>
    <w:p>
      <w:pPr>
        <w:pStyle w:val="BodyText"/>
        <w:spacing w:before="21"/>
        <w:ind w:left="700"/>
      </w:pPr>
      <w:r>
        <w:rPr/>
        <w:t>The implementation of </w:t>
      </w:r>
      <w:r>
        <w:rPr>
          <w:i/>
        </w:rPr>
        <w:t>Our Way </w:t>
      </w:r>
      <w:r>
        <w:rPr/>
        <w:t>has been supported by three key factors:</w:t>
      </w:r>
    </w:p>
    <w:p>
      <w:pPr>
        <w:pStyle w:val="BodyText"/>
        <w:spacing w:before="4"/>
        <w:rPr>
          <w:sz w:val="21"/>
        </w:rPr>
      </w:pPr>
    </w:p>
    <w:p>
      <w:pPr>
        <w:pStyle w:val="ListParagraph"/>
        <w:numPr>
          <w:ilvl w:val="0"/>
          <w:numId w:val="4"/>
        </w:numPr>
        <w:tabs>
          <w:tab w:pos="1061" w:val="left" w:leader="none"/>
        </w:tabs>
        <w:spacing w:line="264" w:lineRule="auto" w:before="0" w:after="0"/>
        <w:ind w:left="1060" w:right="752" w:hanging="360"/>
        <w:jc w:val="left"/>
        <w:rPr>
          <w:sz w:val="18"/>
        </w:rPr>
      </w:pPr>
      <w:r>
        <w:rPr>
          <w:sz w:val="18"/>
        </w:rPr>
        <w:t>Greater trust and empowerment of the community-controlled sector has improved Aboriginal and Torres Strait Islander peoples’ access to more culturally appropriate services. This is evidenced by the recent outcomes evaluation of the Aboriginal and Torres Strait Islander Family Wellbeing Services (which are delivered by ACCOs) which identified positive outcomes in terms of successfully meeting the needs of Aboriginal and Torres Strait Islander families and reducing the extent to which families experienced child safety investigations after exiting the program. Stakeholders identified scope for the Government to support the collective growth of this sector moving forward to ensure more community members can benefit from these services.</w:t>
      </w:r>
    </w:p>
    <w:p>
      <w:pPr>
        <w:pStyle w:val="ListParagraph"/>
        <w:numPr>
          <w:ilvl w:val="0"/>
          <w:numId w:val="4"/>
        </w:numPr>
        <w:tabs>
          <w:tab w:pos="1061" w:val="left" w:leader="none"/>
        </w:tabs>
        <w:spacing w:line="264" w:lineRule="auto" w:before="0" w:after="0"/>
        <w:ind w:left="1060" w:right="903" w:hanging="360"/>
        <w:jc w:val="left"/>
        <w:rPr>
          <w:sz w:val="18"/>
        </w:rPr>
      </w:pPr>
      <w:r>
        <w:rPr>
          <w:sz w:val="18"/>
        </w:rPr>
        <w:t>Initiatives and services that embed elements of co-design and strong community voice are more likely to be well received by the Aboriginal and Torres Strait Islander community.</w:t>
      </w:r>
      <w:r>
        <w:rPr>
          <w:spacing w:val="-37"/>
          <w:sz w:val="18"/>
        </w:rPr>
        <w:t> </w:t>
      </w:r>
      <w:r>
        <w:rPr>
          <w:sz w:val="18"/>
        </w:rPr>
        <w:t>There is a need to identify, showcase and scale successful service delivery</w:t>
      </w:r>
      <w:r>
        <w:rPr>
          <w:spacing w:val="-14"/>
          <w:sz w:val="18"/>
        </w:rPr>
        <w:t> </w:t>
      </w:r>
      <w:r>
        <w:rPr>
          <w:sz w:val="18"/>
        </w:rPr>
        <w:t>models.</w:t>
      </w:r>
    </w:p>
    <w:p>
      <w:pPr>
        <w:pStyle w:val="ListParagraph"/>
        <w:numPr>
          <w:ilvl w:val="0"/>
          <w:numId w:val="4"/>
        </w:numPr>
        <w:tabs>
          <w:tab w:pos="1061" w:val="left" w:leader="none"/>
        </w:tabs>
        <w:spacing w:line="264" w:lineRule="auto" w:before="0" w:after="0"/>
        <w:ind w:left="1060" w:right="751" w:hanging="360"/>
        <w:jc w:val="left"/>
        <w:rPr>
          <w:sz w:val="18"/>
        </w:rPr>
      </w:pPr>
      <w:r>
        <w:rPr>
          <w:sz w:val="18"/>
        </w:rPr>
        <w:t>The recent changes to legislation and governance arrangements reflects progress to greater community-led decision making. For instance, stakeholders commended the ongoing implementation of delegated authority to permit one or more of the Chief Executive’s statutory functions or powers for an Aboriginal and/ or Torres Strait Islander child under the </w:t>
      </w:r>
      <w:r>
        <w:rPr>
          <w:i/>
          <w:sz w:val="18"/>
        </w:rPr>
        <w:t>Child </w:t>
      </w:r>
      <w:r>
        <w:rPr>
          <w:i/>
          <w:sz w:val="18"/>
        </w:rPr>
        <w:t>Protection Act 1999 </w:t>
      </w:r>
      <w:r>
        <w:rPr>
          <w:sz w:val="18"/>
        </w:rPr>
        <w:t>to be delegated to the Chief Executive of an Aboriginal and Torres Strait Islander</w:t>
      </w:r>
      <w:r>
        <w:rPr>
          <w:spacing w:val="-2"/>
          <w:sz w:val="18"/>
        </w:rPr>
        <w:t> </w:t>
      </w:r>
      <w:r>
        <w:rPr>
          <w:sz w:val="18"/>
        </w:rPr>
        <w:t>entity.</w:t>
      </w:r>
    </w:p>
    <w:p>
      <w:pPr>
        <w:pStyle w:val="BodyText"/>
        <w:spacing w:before="10"/>
      </w:pPr>
    </w:p>
    <w:p>
      <w:pPr>
        <w:pStyle w:val="BodyText"/>
        <w:spacing w:line="266" w:lineRule="auto"/>
        <w:ind w:left="700" w:right="814"/>
      </w:pPr>
      <w:r>
        <w:rPr/>
        <w:t>However, there are a number of implementation challenges which have hindered the achievement of </w:t>
      </w:r>
      <w:r>
        <w:rPr>
          <w:i/>
        </w:rPr>
        <w:t>Our Way’s </w:t>
      </w:r>
      <w:r>
        <w:rPr/>
        <w:t>objectives, including:</w:t>
      </w:r>
    </w:p>
    <w:p>
      <w:pPr>
        <w:pStyle w:val="BodyText"/>
        <w:spacing w:before="4"/>
        <w:rPr>
          <w:sz w:val="19"/>
        </w:rPr>
      </w:pPr>
    </w:p>
    <w:p>
      <w:pPr>
        <w:pStyle w:val="ListParagraph"/>
        <w:numPr>
          <w:ilvl w:val="0"/>
          <w:numId w:val="5"/>
        </w:numPr>
        <w:tabs>
          <w:tab w:pos="1061" w:val="left" w:leader="none"/>
        </w:tabs>
        <w:spacing w:line="266" w:lineRule="auto" w:before="0" w:after="0"/>
        <w:ind w:left="1060" w:right="838" w:hanging="360"/>
        <w:jc w:val="left"/>
        <w:rPr>
          <w:sz w:val="18"/>
        </w:rPr>
      </w:pPr>
      <w:r>
        <w:rPr>
          <w:sz w:val="18"/>
        </w:rPr>
        <w:t>Structural racism which continues to exist within some parts of the system, despite significant government investment to address</w:t>
      </w:r>
      <w:r>
        <w:rPr>
          <w:spacing w:val="-6"/>
          <w:sz w:val="18"/>
        </w:rPr>
        <w:t> </w:t>
      </w:r>
      <w:r>
        <w:rPr>
          <w:sz w:val="18"/>
        </w:rPr>
        <w:t>this.</w:t>
      </w:r>
    </w:p>
    <w:p>
      <w:pPr>
        <w:spacing w:after="0" w:line="266" w:lineRule="auto"/>
        <w:jc w:val="left"/>
        <w:rPr>
          <w:sz w:val="18"/>
        </w:rPr>
        <w:sectPr>
          <w:pgSz w:w="11910" w:h="16840"/>
          <w:pgMar w:header="650" w:footer="420" w:top="840" w:bottom="620" w:left="740" w:right="720"/>
        </w:sectPr>
      </w:pPr>
    </w:p>
    <w:p>
      <w:pPr>
        <w:pStyle w:val="BodyText"/>
        <w:rPr>
          <w:sz w:val="20"/>
        </w:rPr>
      </w:pPr>
    </w:p>
    <w:p>
      <w:pPr>
        <w:pStyle w:val="BodyText"/>
        <w:rPr>
          <w:sz w:val="22"/>
        </w:rPr>
      </w:pPr>
    </w:p>
    <w:p>
      <w:pPr>
        <w:pStyle w:val="ListParagraph"/>
        <w:numPr>
          <w:ilvl w:val="0"/>
          <w:numId w:val="5"/>
        </w:numPr>
        <w:tabs>
          <w:tab w:pos="1061" w:val="left" w:leader="none"/>
        </w:tabs>
        <w:spacing w:line="264" w:lineRule="auto" w:before="100" w:after="0"/>
        <w:ind w:left="1060" w:right="890" w:hanging="360"/>
        <w:jc w:val="left"/>
        <w:rPr>
          <w:sz w:val="18"/>
        </w:rPr>
      </w:pPr>
      <w:r>
        <w:rPr>
          <w:sz w:val="18"/>
        </w:rPr>
        <w:t>Variation in cultural competency among non-Indigenous organisations. There are also some place-based variations in the quality and cultural appropriateness of services which should be investigated</w:t>
      </w:r>
      <w:r>
        <w:rPr>
          <w:spacing w:val="-2"/>
          <w:sz w:val="18"/>
        </w:rPr>
        <w:t> </w:t>
      </w:r>
      <w:r>
        <w:rPr>
          <w:sz w:val="18"/>
        </w:rPr>
        <w:t>further.</w:t>
      </w:r>
    </w:p>
    <w:p>
      <w:pPr>
        <w:pStyle w:val="ListParagraph"/>
        <w:numPr>
          <w:ilvl w:val="0"/>
          <w:numId w:val="5"/>
        </w:numPr>
        <w:tabs>
          <w:tab w:pos="1061" w:val="left" w:leader="none"/>
        </w:tabs>
        <w:spacing w:line="264" w:lineRule="auto" w:before="0" w:after="0"/>
        <w:ind w:left="1060" w:right="1523" w:hanging="360"/>
        <w:jc w:val="left"/>
        <w:rPr>
          <w:sz w:val="18"/>
        </w:rPr>
      </w:pPr>
      <w:r>
        <w:rPr>
          <w:sz w:val="18"/>
        </w:rPr>
        <w:t>Fear-based decision making (e.g., fear of losing power, risk aversion and resistance to change).</w:t>
      </w:r>
    </w:p>
    <w:p>
      <w:pPr>
        <w:pStyle w:val="ListParagraph"/>
        <w:numPr>
          <w:ilvl w:val="0"/>
          <w:numId w:val="5"/>
        </w:numPr>
        <w:tabs>
          <w:tab w:pos="1061" w:val="left" w:leader="none"/>
        </w:tabs>
        <w:spacing w:line="217" w:lineRule="exact" w:before="0" w:after="0"/>
        <w:ind w:left="1060" w:right="0" w:hanging="361"/>
        <w:jc w:val="left"/>
        <w:rPr>
          <w:sz w:val="18"/>
        </w:rPr>
      </w:pPr>
      <w:r>
        <w:rPr>
          <w:sz w:val="18"/>
        </w:rPr>
        <w:t>Variation in the strength of accountability mechanisms associated with the key objectives</w:t>
      </w:r>
      <w:r>
        <w:rPr>
          <w:spacing w:val="-20"/>
          <w:sz w:val="18"/>
        </w:rPr>
        <w:t> </w:t>
      </w:r>
      <w:r>
        <w:rPr>
          <w:sz w:val="18"/>
        </w:rPr>
        <w:t>of</w:t>
      </w:r>
    </w:p>
    <w:p>
      <w:pPr>
        <w:pStyle w:val="BodyText"/>
        <w:spacing w:before="20"/>
        <w:ind w:left="1060"/>
      </w:pPr>
      <w:r>
        <w:rPr>
          <w:i/>
        </w:rPr>
        <w:t>Our Way </w:t>
      </w:r>
      <w:r>
        <w:rPr/>
        <w:t>across agencies and different levels of government.</w:t>
      </w:r>
    </w:p>
    <w:p>
      <w:pPr>
        <w:pStyle w:val="ListParagraph"/>
        <w:numPr>
          <w:ilvl w:val="0"/>
          <w:numId w:val="5"/>
        </w:numPr>
        <w:tabs>
          <w:tab w:pos="1061" w:val="left" w:leader="none"/>
        </w:tabs>
        <w:spacing w:line="264" w:lineRule="auto" w:before="21" w:after="0"/>
        <w:ind w:left="1060" w:right="1161" w:hanging="360"/>
        <w:jc w:val="left"/>
        <w:rPr>
          <w:sz w:val="18"/>
        </w:rPr>
      </w:pPr>
      <w:r>
        <w:rPr>
          <w:sz w:val="18"/>
        </w:rPr>
        <w:t>Insufficient progress in transforming funding and procurement arrangements to reflect the intended shift in power to the community (including the community-controlled</w:t>
      </w:r>
      <w:r>
        <w:rPr>
          <w:spacing w:val="-25"/>
          <w:sz w:val="18"/>
        </w:rPr>
        <w:t> </w:t>
      </w:r>
      <w:r>
        <w:rPr>
          <w:sz w:val="18"/>
        </w:rPr>
        <w:t>sector).</w:t>
      </w:r>
    </w:p>
    <w:p>
      <w:pPr>
        <w:pStyle w:val="BodyText"/>
        <w:spacing w:before="7"/>
        <w:rPr>
          <w:sz w:val="19"/>
        </w:rPr>
      </w:pPr>
    </w:p>
    <w:p>
      <w:pPr>
        <w:pStyle w:val="BodyText"/>
        <w:spacing w:before="1"/>
        <w:ind w:left="700"/>
      </w:pPr>
      <w:r>
        <w:rPr/>
        <w:t>There are three main suggested lessons to strengthen the future implementation of </w:t>
      </w:r>
      <w:r>
        <w:rPr>
          <w:i/>
        </w:rPr>
        <w:t>Our Way</w:t>
      </w:r>
      <w:r>
        <w:rPr/>
        <w:t>:</w:t>
      </w:r>
    </w:p>
    <w:p>
      <w:pPr>
        <w:pStyle w:val="BodyText"/>
        <w:spacing w:before="5"/>
        <w:rPr>
          <w:sz w:val="21"/>
        </w:rPr>
      </w:pPr>
    </w:p>
    <w:p>
      <w:pPr>
        <w:pStyle w:val="ListParagraph"/>
        <w:numPr>
          <w:ilvl w:val="0"/>
          <w:numId w:val="6"/>
        </w:numPr>
        <w:tabs>
          <w:tab w:pos="1061" w:val="left" w:leader="none"/>
        </w:tabs>
        <w:spacing w:line="264" w:lineRule="auto" w:before="1" w:after="0"/>
        <w:ind w:left="1060" w:right="998" w:hanging="360"/>
        <w:jc w:val="left"/>
        <w:rPr>
          <w:sz w:val="18"/>
        </w:rPr>
      </w:pPr>
      <w:r>
        <w:rPr>
          <w:sz w:val="18"/>
        </w:rPr>
        <w:t>Increase focus on early intervention so that Aboriginal and Torres Strait Islander children do not enter the child protection system in the first place. Culture needs to be recognised as a protective factor which increases the resilience of Aboriginal and Torres Strait Islander families.</w:t>
      </w:r>
    </w:p>
    <w:p>
      <w:pPr>
        <w:pStyle w:val="ListParagraph"/>
        <w:numPr>
          <w:ilvl w:val="0"/>
          <w:numId w:val="6"/>
        </w:numPr>
        <w:tabs>
          <w:tab w:pos="1061" w:val="left" w:leader="none"/>
        </w:tabs>
        <w:spacing w:line="264" w:lineRule="auto" w:before="0" w:after="0"/>
        <w:ind w:left="1060" w:right="792" w:hanging="360"/>
        <w:jc w:val="left"/>
        <w:rPr>
          <w:sz w:val="18"/>
        </w:rPr>
      </w:pPr>
      <w:r>
        <w:rPr>
          <w:sz w:val="18"/>
        </w:rPr>
        <w:t>Ensure that future </w:t>
      </w:r>
      <w:r>
        <w:rPr>
          <w:i/>
          <w:sz w:val="18"/>
        </w:rPr>
        <w:t>Our Way </w:t>
      </w:r>
      <w:r>
        <w:rPr>
          <w:sz w:val="18"/>
        </w:rPr>
        <w:t>actions are bolder and more transformative to achieve the desired change in the system. This means going beyond establishing plans and governance arrangements and ensuring that actions are impactful and directly support Aboriginal and Torres Strait Islander</w:t>
      </w:r>
      <w:r>
        <w:rPr>
          <w:spacing w:val="-3"/>
          <w:sz w:val="18"/>
        </w:rPr>
        <w:t> </w:t>
      </w:r>
      <w:r>
        <w:rPr>
          <w:sz w:val="18"/>
        </w:rPr>
        <w:t>children.</w:t>
      </w:r>
    </w:p>
    <w:p>
      <w:pPr>
        <w:pStyle w:val="ListParagraph"/>
        <w:numPr>
          <w:ilvl w:val="0"/>
          <w:numId w:val="6"/>
        </w:numPr>
        <w:tabs>
          <w:tab w:pos="1061" w:val="left" w:leader="none"/>
        </w:tabs>
        <w:spacing w:line="264" w:lineRule="auto" w:before="0" w:after="0"/>
        <w:ind w:left="1060" w:right="1093" w:hanging="360"/>
        <w:jc w:val="left"/>
        <w:rPr>
          <w:sz w:val="18"/>
        </w:rPr>
      </w:pPr>
      <w:r>
        <w:rPr>
          <w:sz w:val="18"/>
        </w:rPr>
        <w:t>Strengthen data collection mechanisms which incorporate community voice to measure the success of </w:t>
      </w:r>
      <w:r>
        <w:rPr>
          <w:i/>
          <w:sz w:val="18"/>
        </w:rPr>
        <w:t>Our</w:t>
      </w:r>
      <w:r>
        <w:rPr>
          <w:i/>
          <w:spacing w:val="-5"/>
          <w:sz w:val="18"/>
        </w:rPr>
        <w:t> </w:t>
      </w:r>
      <w:r>
        <w:rPr>
          <w:i/>
          <w:sz w:val="18"/>
        </w:rPr>
        <w:t>Way</w:t>
      </w:r>
      <w:r>
        <w:rPr>
          <w:sz w:val="18"/>
        </w:rPr>
        <w:t>.</w:t>
      </w:r>
    </w:p>
    <w:p>
      <w:pPr>
        <w:pStyle w:val="BodyText"/>
        <w:spacing w:before="3"/>
        <w:rPr>
          <w:sz w:val="19"/>
        </w:rPr>
      </w:pPr>
    </w:p>
    <w:p>
      <w:pPr>
        <w:pStyle w:val="BodyText"/>
        <w:ind w:left="700"/>
      </w:pPr>
      <w:r>
        <w:rPr/>
        <w:t>These lessons have informed the design of the Theory of Change (see page 15).</w:t>
      </w:r>
    </w:p>
    <w:p>
      <w:pPr>
        <w:spacing w:before="192"/>
        <w:ind w:left="700" w:right="0" w:firstLine="0"/>
        <w:jc w:val="left"/>
        <w:rPr>
          <w:b/>
          <w:sz w:val="18"/>
        </w:rPr>
      </w:pPr>
      <w:r>
        <w:rPr>
          <w:b/>
          <w:color w:val="75787A"/>
          <w:sz w:val="18"/>
        </w:rPr>
        <w:t>Changing the </w:t>
      </w:r>
      <w:r>
        <w:rPr>
          <w:b/>
          <w:i/>
          <w:color w:val="75787A"/>
          <w:sz w:val="18"/>
        </w:rPr>
        <w:t>Our Way </w:t>
      </w:r>
      <w:r>
        <w:rPr>
          <w:b/>
          <w:color w:val="75787A"/>
          <w:sz w:val="18"/>
        </w:rPr>
        <w:t>system</w:t>
      </w:r>
    </w:p>
    <w:p>
      <w:pPr>
        <w:pStyle w:val="BodyText"/>
        <w:spacing w:line="264" w:lineRule="auto" w:before="21"/>
        <w:ind w:left="700" w:right="854"/>
      </w:pPr>
      <w:r>
        <w:rPr/>
        <w:t>This evaluation found that at times, there appeared to be a disconnect between how the actions and activities being delivered under </w:t>
      </w:r>
      <w:r>
        <w:rPr>
          <w:i/>
        </w:rPr>
        <w:t>Our Way </w:t>
      </w:r>
      <w:r>
        <w:rPr/>
        <w:t>were contributing to the transformational change needed to achieve the objectives of </w:t>
      </w:r>
      <w:r>
        <w:rPr>
          <w:i/>
        </w:rPr>
        <w:t>Our Way</w:t>
      </w:r>
      <w:r>
        <w:rPr/>
        <w:t>. As part of the second phase of this evaluation, a Theory of Change has been developed in collaboration with key system stakeholders from several government agencies, ACCOs and representatives of the Queensland First Children and Families Board. This Theory of Change is intended to guide positive changes within the system, increase the level of engagement from all system stakeholders and identify the key priority areas that the Strategy will focus on delivering reforms and activities in to achieve its objectives. Importantly, it highlights that Aboriginal and Torres Strait Islander children are at the heart and centre of the system.</w:t>
      </w:r>
    </w:p>
    <w:p>
      <w:pPr>
        <w:pStyle w:val="BodyText"/>
        <w:spacing w:line="264" w:lineRule="auto" w:before="164"/>
        <w:ind w:left="700" w:right="734"/>
      </w:pPr>
      <w:r>
        <w:rPr/>
        <w:t>The program logic model operationalises the Theory of Change by describing the inputs required to undertake activities that will produce tangible outputs and contribute towards the attainment of short-, medium- and long-term outcomes. The intent of this program logic model is to shape the design of future action plans and outline key outcomes that future evaluations can consider assessing to measure the success and implementation progress of </w:t>
      </w:r>
      <w:r>
        <w:rPr>
          <w:i/>
        </w:rPr>
        <w:t>Our Way</w:t>
      </w:r>
      <w:r>
        <w:rPr/>
        <w:t>. The program logic model aims to:</w:t>
      </w:r>
    </w:p>
    <w:p>
      <w:pPr>
        <w:pStyle w:val="ListParagraph"/>
        <w:numPr>
          <w:ilvl w:val="0"/>
          <w:numId w:val="3"/>
        </w:numPr>
        <w:tabs>
          <w:tab w:pos="1041" w:val="left" w:leader="none"/>
          <w:tab w:pos="1042" w:val="left" w:leader="none"/>
        </w:tabs>
        <w:spacing w:line="240" w:lineRule="auto" w:before="168" w:after="0"/>
        <w:ind w:left="1041" w:right="0" w:hanging="342"/>
        <w:jc w:val="left"/>
        <w:rPr>
          <w:sz w:val="18"/>
        </w:rPr>
      </w:pPr>
      <w:r>
        <w:rPr>
          <w:sz w:val="18"/>
        </w:rPr>
        <w:t>influence and inform the design and implementation of the </w:t>
      </w:r>
      <w:r>
        <w:rPr>
          <w:i/>
          <w:sz w:val="18"/>
        </w:rPr>
        <w:t>Breaking Cycles </w:t>
      </w:r>
      <w:r>
        <w:rPr>
          <w:sz w:val="18"/>
        </w:rPr>
        <w:t>action</w:t>
      </w:r>
      <w:r>
        <w:rPr>
          <w:spacing w:val="-19"/>
          <w:sz w:val="18"/>
        </w:rPr>
        <w:t> </w:t>
      </w:r>
      <w:r>
        <w:rPr>
          <w:sz w:val="18"/>
        </w:rPr>
        <w:t>plans</w:t>
      </w:r>
    </w:p>
    <w:p>
      <w:pPr>
        <w:pStyle w:val="ListParagraph"/>
        <w:numPr>
          <w:ilvl w:val="0"/>
          <w:numId w:val="3"/>
        </w:numPr>
        <w:tabs>
          <w:tab w:pos="1041" w:val="left" w:leader="none"/>
          <w:tab w:pos="1042" w:val="left" w:leader="none"/>
        </w:tabs>
        <w:spacing w:line="261" w:lineRule="auto" w:before="19" w:after="0"/>
        <w:ind w:left="1041" w:right="737" w:hanging="341"/>
        <w:jc w:val="left"/>
        <w:rPr>
          <w:i/>
          <w:sz w:val="18"/>
        </w:rPr>
      </w:pPr>
      <w:r>
        <w:rPr>
          <w:sz w:val="18"/>
        </w:rPr>
        <w:t>outline key outcomes that future evaluations can continue tracking to measure the success and implementation progress of </w:t>
      </w:r>
      <w:r>
        <w:rPr>
          <w:i/>
          <w:sz w:val="18"/>
        </w:rPr>
        <w:t>Our</w:t>
      </w:r>
      <w:r>
        <w:rPr>
          <w:i/>
          <w:spacing w:val="-4"/>
          <w:sz w:val="18"/>
        </w:rPr>
        <w:t> </w:t>
      </w:r>
      <w:r>
        <w:rPr>
          <w:i/>
          <w:sz w:val="18"/>
        </w:rPr>
        <w:t>Way</w:t>
      </w:r>
    </w:p>
    <w:p>
      <w:pPr>
        <w:pStyle w:val="ListParagraph"/>
        <w:numPr>
          <w:ilvl w:val="0"/>
          <w:numId w:val="3"/>
        </w:numPr>
        <w:tabs>
          <w:tab w:pos="1041" w:val="left" w:leader="none"/>
          <w:tab w:pos="1042" w:val="left" w:leader="none"/>
        </w:tabs>
        <w:spacing w:line="240" w:lineRule="auto" w:before="1" w:after="0"/>
        <w:ind w:left="1041" w:right="0" w:hanging="342"/>
        <w:jc w:val="left"/>
        <w:rPr>
          <w:i/>
          <w:sz w:val="18"/>
        </w:rPr>
      </w:pPr>
      <w:r>
        <w:rPr>
          <w:sz w:val="18"/>
        </w:rPr>
        <w:t>support the development of whole-of-system approach to implementing </w:t>
      </w:r>
      <w:r>
        <w:rPr>
          <w:i/>
          <w:sz w:val="18"/>
        </w:rPr>
        <w:t>Our</w:t>
      </w:r>
      <w:r>
        <w:rPr>
          <w:i/>
          <w:spacing w:val="-13"/>
          <w:sz w:val="18"/>
        </w:rPr>
        <w:t> </w:t>
      </w:r>
      <w:r>
        <w:rPr>
          <w:i/>
          <w:sz w:val="18"/>
        </w:rPr>
        <w:t>Way</w:t>
      </w:r>
    </w:p>
    <w:p>
      <w:pPr>
        <w:pStyle w:val="ListParagraph"/>
        <w:numPr>
          <w:ilvl w:val="0"/>
          <w:numId w:val="3"/>
        </w:numPr>
        <w:tabs>
          <w:tab w:pos="1041" w:val="left" w:leader="none"/>
          <w:tab w:pos="1042" w:val="left" w:leader="none"/>
        </w:tabs>
        <w:spacing w:line="261" w:lineRule="auto" w:before="20" w:after="0"/>
        <w:ind w:left="1041" w:right="724" w:hanging="341"/>
        <w:jc w:val="left"/>
        <w:rPr>
          <w:sz w:val="18"/>
        </w:rPr>
      </w:pPr>
      <w:r>
        <w:rPr>
          <w:sz w:val="18"/>
        </w:rPr>
        <w:t>enable the sharing of accountability across different government and non-government agencies who are collectively responsible for delivering the best life outcomes for Aboriginal and Torres Strait Islander</w:t>
      </w:r>
      <w:r>
        <w:rPr>
          <w:spacing w:val="-2"/>
          <w:sz w:val="18"/>
        </w:rPr>
        <w:t> </w:t>
      </w:r>
      <w:r>
        <w:rPr>
          <w:sz w:val="18"/>
        </w:rPr>
        <w:t>children.</w:t>
      </w:r>
    </w:p>
    <w:p>
      <w:pPr>
        <w:pStyle w:val="BodyText"/>
        <w:spacing w:before="11"/>
        <w:rPr>
          <w:sz w:val="19"/>
        </w:rPr>
      </w:pPr>
    </w:p>
    <w:p>
      <w:pPr>
        <w:pStyle w:val="BodyText"/>
        <w:ind w:left="700"/>
      </w:pPr>
      <w:r>
        <w:rPr/>
        <w:t>In reviewing the program logic model, it is important to consider the following aspects:</w:t>
      </w:r>
    </w:p>
    <w:p>
      <w:pPr>
        <w:pStyle w:val="ListParagraph"/>
        <w:numPr>
          <w:ilvl w:val="0"/>
          <w:numId w:val="3"/>
        </w:numPr>
        <w:tabs>
          <w:tab w:pos="1060" w:val="left" w:leader="none"/>
          <w:tab w:pos="1061" w:val="left" w:leader="none"/>
        </w:tabs>
        <w:spacing w:line="261" w:lineRule="auto" w:before="190" w:after="0"/>
        <w:ind w:left="1060" w:right="754" w:hanging="360"/>
        <w:jc w:val="left"/>
        <w:rPr>
          <w:sz w:val="18"/>
        </w:rPr>
      </w:pPr>
      <w:r>
        <w:rPr>
          <w:b/>
          <w:sz w:val="18"/>
        </w:rPr>
        <w:t>The timeframes of </w:t>
      </w:r>
      <w:r>
        <w:rPr>
          <w:b/>
          <w:i/>
          <w:sz w:val="18"/>
        </w:rPr>
        <w:t>Our Way</w:t>
      </w:r>
      <w:r>
        <w:rPr>
          <w:sz w:val="18"/>
        </w:rPr>
        <w:t>. This system-level program logic model is intended to provide high-level guidance on the key focus areas for sustained action and change, and the outcomes that need to be achieved to attain the overarching objectives of </w:t>
      </w:r>
      <w:r>
        <w:rPr>
          <w:i/>
          <w:sz w:val="18"/>
        </w:rPr>
        <w:t>Our Way. </w:t>
      </w:r>
      <w:r>
        <w:rPr>
          <w:sz w:val="18"/>
        </w:rPr>
        <w:t>It includes less specificity on the input, activity and output components as it is expected that detailed</w:t>
      </w:r>
      <w:r>
        <w:rPr>
          <w:spacing w:val="-38"/>
          <w:sz w:val="18"/>
        </w:rPr>
        <w:t> </w:t>
      </w:r>
      <w:r>
        <w:rPr>
          <w:sz w:val="18"/>
        </w:rPr>
        <w:t>program</w:t>
      </w:r>
    </w:p>
    <w:p>
      <w:pPr>
        <w:spacing w:after="0" w:line="261" w:lineRule="auto"/>
        <w:jc w:val="left"/>
        <w:rPr>
          <w:sz w:val="18"/>
        </w:rPr>
        <w:sectPr>
          <w:pgSz w:w="11910" w:h="16840"/>
          <w:pgMar w:header="650" w:footer="420" w:top="840" w:bottom="620" w:left="740" w:right="720"/>
        </w:sectPr>
      </w:pPr>
    </w:p>
    <w:p>
      <w:pPr>
        <w:pStyle w:val="BodyText"/>
        <w:rPr>
          <w:sz w:val="20"/>
        </w:rPr>
      </w:pPr>
    </w:p>
    <w:p>
      <w:pPr>
        <w:pStyle w:val="BodyText"/>
        <w:rPr>
          <w:sz w:val="22"/>
        </w:rPr>
      </w:pPr>
    </w:p>
    <w:p>
      <w:pPr>
        <w:pStyle w:val="BodyText"/>
        <w:spacing w:line="264" w:lineRule="auto" w:before="100"/>
        <w:ind w:left="1060" w:right="1097"/>
      </w:pPr>
      <w:r>
        <w:rPr/>
        <w:t>logic models will be tailored for each action plan remaining in the strategy once actions are agreed upon (se</w:t>
      </w:r>
      <w:hyperlink w:history="true" w:anchor="_bookmark6">
        <w:r>
          <w:rPr/>
          <w:t>e Figure i</w:t>
        </w:r>
      </w:hyperlink>
      <w:r>
        <w:rPr/>
        <w:t>).</w:t>
      </w:r>
    </w:p>
    <w:p>
      <w:pPr>
        <w:pStyle w:val="ListParagraph"/>
        <w:numPr>
          <w:ilvl w:val="0"/>
          <w:numId w:val="3"/>
        </w:numPr>
        <w:tabs>
          <w:tab w:pos="1060" w:val="left" w:leader="none"/>
          <w:tab w:pos="1061" w:val="left" w:leader="none"/>
        </w:tabs>
        <w:spacing w:line="261" w:lineRule="auto" w:before="0" w:after="0"/>
        <w:ind w:left="1060" w:right="882" w:hanging="360"/>
        <w:jc w:val="left"/>
        <w:rPr>
          <w:sz w:val="18"/>
        </w:rPr>
      </w:pPr>
      <w:r>
        <w:rPr>
          <w:b/>
          <w:sz w:val="18"/>
        </w:rPr>
        <w:t>The system-level approach to developing this program logic</w:t>
      </w:r>
      <w:r>
        <w:rPr>
          <w:sz w:val="18"/>
        </w:rPr>
        <w:t>. This program logic model takes a systems view of the positive systemic changes that need to occur for </w:t>
      </w:r>
      <w:r>
        <w:rPr>
          <w:i/>
          <w:sz w:val="18"/>
        </w:rPr>
        <w:t>Our Way </w:t>
      </w:r>
      <w:r>
        <w:rPr>
          <w:sz w:val="18"/>
        </w:rPr>
        <w:t>objectives to be attained. It therefore incorporates indicators related to system-level</w:t>
      </w:r>
      <w:r>
        <w:rPr>
          <w:spacing w:val="-32"/>
          <w:sz w:val="18"/>
        </w:rPr>
        <w:t> </w:t>
      </w:r>
      <w:r>
        <w:rPr>
          <w:sz w:val="18"/>
        </w:rPr>
        <w:t>changes</w:t>
      </w:r>
    </w:p>
    <w:p>
      <w:pPr>
        <w:pStyle w:val="BodyText"/>
        <w:spacing w:line="264" w:lineRule="auto" w:before="2"/>
        <w:ind w:left="1060" w:right="1208"/>
      </w:pPr>
      <w:r>
        <w:rPr/>
        <w:t>– such as stakeholders’ commitment to the strategy and the extent to which stakeholders collaborate and implement key actions that are aligned with </w:t>
      </w:r>
      <w:r>
        <w:rPr>
          <w:i/>
        </w:rPr>
        <w:t>Our Way’s </w:t>
      </w:r>
      <w:r>
        <w:rPr/>
        <w:t>shared goals.</w:t>
      </w:r>
    </w:p>
    <w:p>
      <w:pPr>
        <w:pStyle w:val="ListParagraph"/>
        <w:numPr>
          <w:ilvl w:val="0"/>
          <w:numId w:val="3"/>
        </w:numPr>
        <w:tabs>
          <w:tab w:pos="1060" w:val="left" w:leader="none"/>
          <w:tab w:pos="1061" w:val="left" w:leader="none"/>
        </w:tabs>
        <w:spacing w:line="261" w:lineRule="auto" w:before="0" w:after="0"/>
        <w:ind w:left="1060" w:right="998" w:hanging="360"/>
        <w:jc w:val="left"/>
        <w:rPr>
          <w:sz w:val="18"/>
        </w:rPr>
      </w:pPr>
      <w:r>
        <w:rPr>
          <w:b/>
          <w:sz w:val="18"/>
        </w:rPr>
        <w:t>The co-design approach adopted</w:t>
      </w:r>
      <w:r>
        <w:rPr>
          <w:sz w:val="18"/>
        </w:rPr>
        <w:t>. This program logic model has importantly been developed through engagement with key system stakeholders, including government stakeholders, Aboriginal and Torres Strait Islander leaders, representatives from ACCOs and Aboriginal and Torres Strait Islander community</w:t>
      </w:r>
      <w:r>
        <w:rPr>
          <w:spacing w:val="-7"/>
          <w:sz w:val="18"/>
        </w:rPr>
        <w:t> </w:t>
      </w:r>
      <w:r>
        <w:rPr>
          <w:sz w:val="18"/>
        </w:rPr>
        <w:t>members.</w:t>
      </w:r>
    </w:p>
    <w:p>
      <w:pPr>
        <w:pStyle w:val="Heading4"/>
        <w:spacing w:before="173"/>
        <w:ind w:left="700"/>
      </w:pPr>
      <w:r>
        <w:rPr>
          <w:color w:val="75787A"/>
        </w:rPr>
        <w:t>Future areas of focus</w:t>
      </w:r>
    </w:p>
    <w:p>
      <w:pPr>
        <w:pStyle w:val="BodyText"/>
        <w:spacing w:line="264" w:lineRule="auto" w:before="21"/>
        <w:ind w:left="700" w:right="1038"/>
      </w:pPr>
      <w:r>
        <w:rPr/>
        <w:drawing>
          <wp:anchor distT="0" distB="0" distL="0" distR="0" allowOverlap="1" layoutInCell="1" locked="0" behindDoc="0" simplePos="0" relativeHeight="251716608">
            <wp:simplePos x="0" y="0"/>
            <wp:positionH relativeFrom="page">
              <wp:posOffset>937373</wp:posOffset>
            </wp:positionH>
            <wp:positionV relativeFrom="paragraph">
              <wp:posOffset>597478</wp:posOffset>
            </wp:positionV>
            <wp:extent cx="431907" cy="426917"/>
            <wp:effectExtent l="0" t="0" r="0" b="0"/>
            <wp:wrapNone/>
            <wp:docPr id="19" name="image29.jpeg"/>
            <wp:cNvGraphicFramePr>
              <a:graphicFrameLocks noChangeAspect="1"/>
            </wp:cNvGraphicFramePr>
            <a:graphic>
              <a:graphicData uri="http://schemas.openxmlformats.org/drawingml/2006/picture">
                <pic:pic>
                  <pic:nvPicPr>
                    <pic:cNvPr id="20" name="image29.jpeg"/>
                    <pic:cNvPicPr/>
                  </pic:nvPicPr>
                  <pic:blipFill>
                    <a:blip r:embed="rId43" cstate="print"/>
                    <a:stretch>
                      <a:fillRect/>
                    </a:stretch>
                  </pic:blipFill>
                  <pic:spPr>
                    <a:xfrm>
                      <a:off x="0" y="0"/>
                      <a:ext cx="431907" cy="426917"/>
                    </a:xfrm>
                    <a:prstGeom prst="rect">
                      <a:avLst/>
                    </a:prstGeom>
                  </pic:spPr>
                </pic:pic>
              </a:graphicData>
            </a:graphic>
          </wp:anchor>
        </w:drawing>
      </w:r>
      <w:r>
        <w:rPr/>
        <w:t>This evaluation has identified four key areas of focus in the remaining years of the strategy and the key enablers of whole-of-system changes. Each focus area is elaborated in greater detail below.</w:t>
      </w:r>
    </w:p>
    <w:p>
      <w:pPr>
        <w:pStyle w:val="BodyText"/>
        <w:spacing w:before="11"/>
        <w:rPr>
          <w:sz w:val="32"/>
        </w:rPr>
      </w:pPr>
    </w:p>
    <w:p>
      <w:pPr>
        <w:pStyle w:val="Heading4"/>
        <w:numPr>
          <w:ilvl w:val="1"/>
          <w:numId w:val="6"/>
        </w:numPr>
        <w:tabs>
          <w:tab w:pos="1932" w:val="left" w:leader="none"/>
        </w:tabs>
        <w:spacing w:line="240" w:lineRule="auto" w:before="0" w:after="0"/>
        <w:ind w:left="1931" w:right="0" w:hanging="361"/>
        <w:jc w:val="left"/>
      </w:pPr>
      <w:r>
        <w:rPr>
          <w:color w:val="EC8A00"/>
        </w:rPr>
        <w:t>Recognise and implement the transformative change that </w:t>
      </w:r>
      <w:r>
        <w:rPr>
          <w:i/>
          <w:color w:val="EC8A00"/>
        </w:rPr>
        <w:t>Our Way</w:t>
      </w:r>
      <w:r>
        <w:rPr>
          <w:i/>
          <w:color w:val="EC8A00"/>
          <w:spacing w:val="-6"/>
        </w:rPr>
        <w:t> </w:t>
      </w:r>
      <w:r>
        <w:rPr>
          <w:color w:val="EC8A00"/>
        </w:rPr>
        <w:t>requires</w:t>
      </w:r>
    </w:p>
    <w:p>
      <w:pPr>
        <w:pStyle w:val="BodyText"/>
        <w:rPr>
          <w:b/>
          <w:sz w:val="22"/>
        </w:rPr>
      </w:pPr>
    </w:p>
    <w:p>
      <w:pPr>
        <w:pStyle w:val="BodyText"/>
        <w:spacing w:before="5"/>
        <w:rPr>
          <w:b/>
          <w:sz w:val="17"/>
        </w:rPr>
      </w:pPr>
    </w:p>
    <w:p>
      <w:pPr>
        <w:spacing w:line="264" w:lineRule="auto" w:before="1"/>
        <w:ind w:left="700" w:right="716" w:firstLine="0"/>
        <w:jc w:val="left"/>
        <w:rPr>
          <w:sz w:val="18"/>
        </w:rPr>
      </w:pPr>
      <w:r>
        <w:rPr>
          <w:sz w:val="18"/>
        </w:rPr>
        <w:t>There needs to be a whole-of-system recognition of the transformative change required to achieve </w:t>
      </w:r>
      <w:r>
        <w:rPr>
          <w:i/>
          <w:sz w:val="18"/>
        </w:rPr>
        <w:t>Our Way’s </w:t>
      </w:r>
      <w:r>
        <w:rPr>
          <w:sz w:val="18"/>
        </w:rPr>
        <w:t>objectives. For </w:t>
      </w:r>
      <w:r>
        <w:rPr>
          <w:i/>
          <w:sz w:val="18"/>
        </w:rPr>
        <w:t>Our Way </w:t>
      </w:r>
      <w:r>
        <w:rPr>
          <w:sz w:val="18"/>
        </w:rPr>
        <w:t>to be successfully implemented, there needs to be </w:t>
      </w:r>
      <w:r>
        <w:rPr>
          <w:b/>
          <w:sz w:val="18"/>
        </w:rPr>
        <w:t>a paradigm shift in the role of Government</w:t>
      </w:r>
      <w:r>
        <w:rPr>
          <w:sz w:val="18"/>
        </w:rPr>
        <w:t>. </w:t>
      </w:r>
      <w:r>
        <w:rPr>
          <w:i/>
          <w:sz w:val="18"/>
        </w:rPr>
        <w:t>Our Way </w:t>
      </w:r>
      <w:r>
        <w:rPr>
          <w:sz w:val="18"/>
        </w:rPr>
        <w:t>advocates for greater family-led decision making. To achieve this, </w:t>
      </w:r>
      <w:r>
        <w:rPr>
          <w:b/>
          <w:sz w:val="18"/>
        </w:rPr>
        <w:t>the Government must be willing to relinquish control over key decisions in order to promote self-determination and support the safety, wellbeing and connection of Aboriginal and Torres Strait Islander children and families</w:t>
      </w:r>
      <w:r>
        <w:rPr>
          <w:sz w:val="18"/>
        </w:rPr>
        <w:t>.</w:t>
      </w:r>
    </w:p>
    <w:p>
      <w:pPr>
        <w:pStyle w:val="BodyText"/>
        <w:spacing w:line="264" w:lineRule="auto" w:before="167"/>
        <w:ind w:left="700" w:right="770"/>
      </w:pPr>
      <w:r>
        <w:rPr/>
        <w:t>It is commendable that some government agencies are recalibrating existing policy and practice to incorporate greater co-design and community-led decision making. Positive systems change – as originally intended in the design of </w:t>
      </w:r>
      <w:r>
        <w:rPr>
          <w:i/>
        </w:rPr>
        <w:t>Our Way </w:t>
      </w:r>
      <w:r>
        <w:rPr/>
        <w:t>- requires these changes to occur at a larger and more consistent scale across all agencies. To achieve this, it is recommended</w:t>
      </w:r>
      <w:r>
        <w:rPr>
          <w:spacing w:val="-20"/>
        </w:rPr>
        <w:t> </w:t>
      </w:r>
      <w:r>
        <w:rPr/>
        <w:t>that:</w:t>
      </w:r>
    </w:p>
    <w:p>
      <w:pPr>
        <w:pStyle w:val="ListParagraph"/>
        <w:numPr>
          <w:ilvl w:val="1"/>
          <w:numId w:val="7"/>
        </w:numPr>
        <w:tabs>
          <w:tab w:pos="1061" w:val="left" w:leader="none"/>
        </w:tabs>
        <w:spacing w:line="264" w:lineRule="auto" w:before="167" w:after="0"/>
        <w:ind w:left="1060" w:right="935" w:hanging="360"/>
        <w:jc w:val="left"/>
        <w:rPr>
          <w:sz w:val="18"/>
        </w:rPr>
      </w:pPr>
      <w:r>
        <w:rPr>
          <w:sz w:val="18"/>
        </w:rPr>
        <w:t>All government agencies should revisit their existing policy, legislation and strategies and develop plans to address policy / legislation / strategies that do not align with </w:t>
      </w:r>
      <w:r>
        <w:rPr>
          <w:i/>
          <w:sz w:val="18"/>
        </w:rPr>
        <w:t>Our Way</w:t>
      </w:r>
      <w:r>
        <w:rPr>
          <w:sz w:val="18"/>
        </w:rPr>
        <w:t>’s key principles within a specified timeframe. For some agencies, the current ways of working and implementing actions are insufficient to deliver the required changes. There should be clear mechanisms to identify and remedy these</w:t>
      </w:r>
      <w:r>
        <w:rPr>
          <w:spacing w:val="-10"/>
          <w:sz w:val="18"/>
        </w:rPr>
        <w:t> </w:t>
      </w:r>
      <w:r>
        <w:rPr>
          <w:sz w:val="18"/>
        </w:rPr>
        <w:t>misalignments.</w:t>
      </w:r>
    </w:p>
    <w:p>
      <w:pPr>
        <w:pStyle w:val="ListParagraph"/>
        <w:numPr>
          <w:ilvl w:val="1"/>
          <w:numId w:val="7"/>
        </w:numPr>
        <w:tabs>
          <w:tab w:pos="1061" w:val="left" w:leader="none"/>
        </w:tabs>
        <w:spacing w:line="264" w:lineRule="auto" w:before="0" w:after="0"/>
        <w:ind w:left="1060" w:right="892" w:hanging="360"/>
        <w:jc w:val="left"/>
        <w:rPr>
          <w:sz w:val="18"/>
        </w:rPr>
      </w:pPr>
      <w:r>
        <w:rPr>
          <w:sz w:val="18"/>
        </w:rPr>
        <w:t>Utilise the Theory of Change and program logic model (see pages 15 and 16) to influence the design of actions to achieve the common goals articulated in </w:t>
      </w:r>
      <w:r>
        <w:rPr>
          <w:i/>
          <w:sz w:val="18"/>
        </w:rPr>
        <w:t>Our Way</w:t>
      </w:r>
      <w:r>
        <w:rPr>
          <w:sz w:val="18"/>
        </w:rPr>
        <w:t>. Importantly, the outcomes articulated in the program logic model reflect the shared responsibility of the different frontline agencies. A mechanism to design bolder and more transformative actions (rather than leveraging on existing actions that are already in place) may be required to achieve the desired</w:t>
      </w:r>
      <w:r>
        <w:rPr>
          <w:spacing w:val="-2"/>
          <w:sz w:val="18"/>
        </w:rPr>
        <w:t> </w:t>
      </w:r>
      <w:r>
        <w:rPr>
          <w:sz w:val="18"/>
        </w:rPr>
        <w:t>outcomes.</w:t>
      </w:r>
    </w:p>
    <w:p>
      <w:pPr>
        <w:pStyle w:val="ListParagraph"/>
        <w:numPr>
          <w:ilvl w:val="1"/>
          <w:numId w:val="7"/>
        </w:numPr>
        <w:tabs>
          <w:tab w:pos="1061" w:val="left" w:leader="none"/>
        </w:tabs>
        <w:spacing w:line="264" w:lineRule="auto" w:before="0" w:after="0"/>
        <w:ind w:left="1060" w:right="818" w:hanging="360"/>
        <w:jc w:val="left"/>
        <w:rPr>
          <w:sz w:val="18"/>
        </w:rPr>
      </w:pPr>
      <w:r>
        <w:rPr>
          <w:sz w:val="18"/>
        </w:rPr>
        <w:t>Establish transparent and regular reporting mechanisms to the Queensland First Children and Families Board on the implementation progress and remediation activity required. Given that the improved life outcomes of Aboriginal and Torres Strait Islander children and young people are the central focus of </w:t>
      </w:r>
      <w:r>
        <w:rPr>
          <w:i/>
          <w:sz w:val="18"/>
        </w:rPr>
        <w:t>Our Way</w:t>
      </w:r>
      <w:r>
        <w:rPr>
          <w:sz w:val="18"/>
        </w:rPr>
        <w:t>, there should be clear reporting mechanisms on the progress across different socioeconomic determinants which influence their life outcomes (such as access to safe housing, early childhood education, nutrition and quality</w:t>
      </w:r>
      <w:r>
        <w:rPr>
          <w:spacing w:val="-22"/>
          <w:sz w:val="18"/>
        </w:rPr>
        <w:t> </w:t>
      </w:r>
      <w:r>
        <w:rPr>
          <w:sz w:val="18"/>
        </w:rPr>
        <w:t>healthcare).</w:t>
      </w:r>
    </w:p>
    <w:p>
      <w:pPr>
        <w:pStyle w:val="ListParagraph"/>
        <w:numPr>
          <w:ilvl w:val="1"/>
          <w:numId w:val="7"/>
        </w:numPr>
        <w:tabs>
          <w:tab w:pos="1061" w:val="left" w:leader="none"/>
        </w:tabs>
        <w:spacing w:line="264" w:lineRule="auto" w:before="0" w:after="0"/>
        <w:ind w:left="1060" w:right="1016" w:hanging="360"/>
        <w:jc w:val="left"/>
        <w:rPr>
          <w:sz w:val="18"/>
        </w:rPr>
      </w:pPr>
      <w:r>
        <w:rPr>
          <w:sz w:val="18"/>
        </w:rPr>
        <w:t>Identify opportunities to better embed First Nations voice in leadership, governance,</w:t>
      </w:r>
      <w:r>
        <w:rPr>
          <w:spacing w:val="-38"/>
          <w:sz w:val="18"/>
        </w:rPr>
        <w:t> </w:t>
      </w:r>
      <w:r>
        <w:rPr>
          <w:sz w:val="18"/>
        </w:rPr>
        <w:t>service planning and decision making. This includes strategies to increase the representation of Aboriginal and Torres Strait Islander people in government leadership and policy decision making</w:t>
      </w:r>
      <w:r>
        <w:rPr>
          <w:spacing w:val="-2"/>
          <w:sz w:val="18"/>
        </w:rPr>
        <w:t> </w:t>
      </w:r>
      <w:r>
        <w:rPr>
          <w:sz w:val="18"/>
        </w:rPr>
        <w:t>processes.</w:t>
      </w:r>
    </w:p>
    <w:p>
      <w:pPr>
        <w:spacing w:after="0" w:line="264" w:lineRule="auto"/>
        <w:jc w:val="left"/>
        <w:rPr>
          <w:sz w:val="18"/>
        </w:rPr>
        <w:sectPr>
          <w:pgSz w:w="11910" w:h="16840"/>
          <w:pgMar w:header="650" w:footer="420" w:top="840" w:bottom="620" w:left="740" w:right="720"/>
        </w:sectPr>
      </w:pPr>
    </w:p>
    <w:p>
      <w:pPr>
        <w:pStyle w:val="BodyText"/>
        <w:rPr>
          <w:sz w:val="20"/>
        </w:rPr>
      </w:pPr>
    </w:p>
    <w:p>
      <w:pPr>
        <w:pStyle w:val="BodyText"/>
        <w:rPr>
          <w:sz w:val="20"/>
        </w:rPr>
      </w:pPr>
    </w:p>
    <w:p>
      <w:pPr>
        <w:pStyle w:val="BodyText"/>
        <w:spacing w:before="11"/>
        <w:rPr>
          <w:sz w:val="23"/>
        </w:rPr>
      </w:pPr>
    </w:p>
    <w:p>
      <w:pPr>
        <w:pStyle w:val="Heading4"/>
        <w:numPr>
          <w:ilvl w:val="1"/>
          <w:numId w:val="6"/>
        </w:numPr>
        <w:tabs>
          <w:tab w:pos="2028" w:val="left" w:leader="none"/>
        </w:tabs>
        <w:spacing w:line="240" w:lineRule="auto" w:before="100" w:after="0"/>
        <w:ind w:left="2027" w:right="0" w:hanging="361"/>
        <w:jc w:val="left"/>
      </w:pPr>
      <w:r>
        <w:rPr/>
        <w:drawing>
          <wp:anchor distT="0" distB="0" distL="0" distR="0" allowOverlap="1" layoutInCell="1" locked="0" behindDoc="0" simplePos="0" relativeHeight="251718656">
            <wp:simplePos x="0" y="0"/>
            <wp:positionH relativeFrom="page">
              <wp:posOffset>918858</wp:posOffset>
            </wp:positionH>
            <wp:positionV relativeFrom="paragraph">
              <wp:posOffset>-92350</wp:posOffset>
            </wp:positionV>
            <wp:extent cx="462901" cy="455094"/>
            <wp:effectExtent l="0" t="0" r="0" b="0"/>
            <wp:wrapNone/>
            <wp:docPr id="21" name="image30.jpeg"/>
            <wp:cNvGraphicFramePr>
              <a:graphicFrameLocks noChangeAspect="1"/>
            </wp:cNvGraphicFramePr>
            <a:graphic>
              <a:graphicData uri="http://schemas.openxmlformats.org/drawingml/2006/picture">
                <pic:pic>
                  <pic:nvPicPr>
                    <pic:cNvPr id="22" name="image30.jpeg"/>
                    <pic:cNvPicPr/>
                  </pic:nvPicPr>
                  <pic:blipFill>
                    <a:blip r:embed="rId44" cstate="print"/>
                    <a:stretch>
                      <a:fillRect/>
                    </a:stretch>
                  </pic:blipFill>
                  <pic:spPr>
                    <a:xfrm>
                      <a:off x="0" y="0"/>
                      <a:ext cx="462901" cy="455094"/>
                    </a:xfrm>
                    <a:prstGeom prst="rect">
                      <a:avLst/>
                    </a:prstGeom>
                  </pic:spPr>
                </pic:pic>
              </a:graphicData>
            </a:graphic>
          </wp:anchor>
        </w:drawing>
      </w:r>
      <w:r>
        <w:rPr>
          <w:color w:val="EC8A00"/>
        </w:rPr>
        <w:t>Support the sustainable development of the community-controlled</w:t>
      </w:r>
      <w:r>
        <w:rPr>
          <w:color w:val="EC8A00"/>
          <w:spacing w:val="-8"/>
        </w:rPr>
        <w:t> </w:t>
      </w:r>
      <w:r>
        <w:rPr>
          <w:color w:val="EC8A00"/>
        </w:rPr>
        <w:t>sector</w:t>
      </w:r>
    </w:p>
    <w:p>
      <w:pPr>
        <w:pStyle w:val="BodyText"/>
        <w:spacing w:before="5"/>
        <w:rPr>
          <w:b/>
          <w:sz w:val="17"/>
        </w:rPr>
      </w:pPr>
    </w:p>
    <w:p>
      <w:pPr>
        <w:pStyle w:val="BodyText"/>
        <w:spacing w:line="264" w:lineRule="auto" w:before="100"/>
        <w:ind w:left="700" w:right="777"/>
      </w:pPr>
      <w:r>
        <w:rPr/>
        <w:t>The successful transformative change articulated above can only be achieved if it is accompanied with concerted efforts by both government and peak agencies to develop the community- controlled sector in a more sustainable manner. This evaluation has identified some variation in the existing capability of different ACCOs; and the need to develop a clear transition plan to invest in strengthening the community-controlled sector.</w:t>
      </w:r>
    </w:p>
    <w:p>
      <w:pPr>
        <w:pStyle w:val="BodyText"/>
        <w:spacing w:before="168"/>
        <w:ind w:left="700"/>
      </w:pPr>
      <w:r>
        <w:rPr/>
        <w:t>It is also recommended that:</w:t>
      </w:r>
    </w:p>
    <w:p>
      <w:pPr>
        <w:pStyle w:val="ListParagraph"/>
        <w:numPr>
          <w:ilvl w:val="1"/>
          <w:numId w:val="8"/>
        </w:numPr>
        <w:tabs>
          <w:tab w:pos="1061" w:val="left" w:leader="none"/>
        </w:tabs>
        <w:spacing w:line="264" w:lineRule="auto" w:before="189" w:after="0"/>
        <w:ind w:left="1060" w:right="844" w:hanging="360"/>
        <w:jc w:val="left"/>
        <w:rPr>
          <w:sz w:val="18"/>
        </w:rPr>
      </w:pPr>
      <w:r>
        <w:rPr>
          <w:sz w:val="18"/>
        </w:rPr>
        <w:t>The Government, in partnership with QATSICPP and other sector peaks develop a clear strategy and implementation plan to support investments in transition planning and capability development of the community-controlled sector. In line with the expected transfer in responsibilities, government agencies should be working in genuine partnership with ACCOs and non-indigenous child and family organisations to improve the sector’s capability across a range of areas, including governance arrangements and workforce development. This ensures that ACCOs are set up to succeed from the</w:t>
      </w:r>
      <w:r>
        <w:rPr>
          <w:spacing w:val="-7"/>
          <w:sz w:val="18"/>
        </w:rPr>
        <w:t> </w:t>
      </w:r>
      <w:r>
        <w:rPr>
          <w:sz w:val="18"/>
        </w:rPr>
        <w:t>start.</w:t>
      </w:r>
    </w:p>
    <w:p>
      <w:pPr>
        <w:pStyle w:val="ListParagraph"/>
        <w:numPr>
          <w:ilvl w:val="1"/>
          <w:numId w:val="8"/>
        </w:numPr>
        <w:tabs>
          <w:tab w:pos="1061" w:val="left" w:leader="none"/>
        </w:tabs>
        <w:spacing w:line="264" w:lineRule="auto" w:before="0" w:after="0"/>
        <w:ind w:left="1060" w:right="738" w:hanging="360"/>
        <w:jc w:val="left"/>
        <w:rPr>
          <w:sz w:val="18"/>
        </w:rPr>
      </w:pPr>
      <w:r>
        <w:rPr>
          <w:sz w:val="18"/>
        </w:rPr>
        <w:t>Support ACCOs’ ability to innovate and scale successful approaches. ACCOs must be provided the opportunity and space to innovate their service delivery to better meet the needs of Aboriginal and Torres Strait Islander communities. This can be achieved through the funding of pilots. Successful pilots can be funded and scaled to more locations. The need to trust and empower ACCOs is illustrated in the following stakeholder quote - </w:t>
      </w:r>
      <w:r>
        <w:rPr>
          <w:color w:val="85BB24"/>
          <w:sz w:val="18"/>
        </w:rPr>
        <w:t>“</w:t>
      </w:r>
      <w:r>
        <w:rPr>
          <w:i/>
          <w:color w:val="85BB24"/>
          <w:sz w:val="18"/>
        </w:rPr>
        <w:t>the Government should </w:t>
      </w:r>
      <w:r>
        <w:rPr>
          <w:i/>
          <w:color w:val="85BB24"/>
          <w:sz w:val="18"/>
        </w:rPr>
        <w:t>take a leap of faith and support ACCOs. ACCOs know their people in a way that we would not possibly</w:t>
      </w:r>
      <w:r>
        <w:rPr>
          <w:i/>
          <w:color w:val="85BB24"/>
          <w:spacing w:val="-3"/>
          <w:sz w:val="18"/>
        </w:rPr>
        <w:t> </w:t>
      </w:r>
      <w:r>
        <w:rPr>
          <w:i/>
          <w:color w:val="85BB24"/>
          <w:sz w:val="18"/>
        </w:rPr>
        <w:t>know</w:t>
      </w:r>
      <w:r>
        <w:rPr>
          <w:color w:val="85BB24"/>
          <w:sz w:val="18"/>
        </w:rPr>
        <w:t>”.</w:t>
      </w:r>
    </w:p>
    <w:p>
      <w:pPr>
        <w:pStyle w:val="ListParagraph"/>
        <w:numPr>
          <w:ilvl w:val="1"/>
          <w:numId w:val="8"/>
        </w:numPr>
        <w:tabs>
          <w:tab w:pos="1061" w:val="left" w:leader="none"/>
        </w:tabs>
        <w:spacing w:line="264" w:lineRule="auto" w:before="0" w:after="0"/>
        <w:ind w:left="1060" w:right="873" w:hanging="360"/>
        <w:jc w:val="left"/>
        <w:rPr>
          <w:sz w:val="18"/>
        </w:rPr>
      </w:pPr>
      <w:r>
        <w:rPr/>
        <w:drawing>
          <wp:anchor distT="0" distB="0" distL="0" distR="0" allowOverlap="1" layoutInCell="1" locked="0" behindDoc="0" simplePos="0" relativeHeight="251717632">
            <wp:simplePos x="0" y="0"/>
            <wp:positionH relativeFrom="page">
              <wp:posOffset>935612</wp:posOffset>
            </wp:positionH>
            <wp:positionV relativeFrom="paragraph">
              <wp:posOffset>730721</wp:posOffset>
            </wp:positionV>
            <wp:extent cx="487892" cy="459374"/>
            <wp:effectExtent l="0" t="0" r="0" b="0"/>
            <wp:wrapNone/>
            <wp:docPr id="23" name="image31.jpeg"/>
            <wp:cNvGraphicFramePr>
              <a:graphicFrameLocks noChangeAspect="1"/>
            </wp:cNvGraphicFramePr>
            <a:graphic>
              <a:graphicData uri="http://schemas.openxmlformats.org/drawingml/2006/picture">
                <pic:pic>
                  <pic:nvPicPr>
                    <pic:cNvPr id="24" name="image31.jpeg"/>
                    <pic:cNvPicPr/>
                  </pic:nvPicPr>
                  <pic:blipFill>
                    <a:blip r:embed="rId45" cstate="print"/>
                    <a:stretch>
                      <a:fillRect/>
                    </a:stretch>
                  </pic:blipFill>
                  <pic:spPr>
                    <a:xfrm>
                      <a:off x="0" y="0"/>
                      <a:ext cx="487892" cy="459374"/>
                    </a:xfrm>
                    <a:prstGeom prst="rect">
                      <a:avLst/>
                    </a:prstGeom>
                  </pic:spPr>
                </pic:pic>
              </a:graphicData>
            </a:graphic>
          </wp:anchor>
        </w:drawing>
      </w:r>
      <w:r>
        <w:rPr>
          <w:sz w:val="18"/>
        </w:rPr>
        <w:t>Ensure funding arrangements are recalibrated to reflect the trust and empowerment of the community-controlled sector. The adequacy and structure of funding arrangements should be aligned with the complexity of work that ACCOs are tasked to do. ACCOs should importantly have the ability to exercise self-determination and have control of funding</w:t>
      </w:r>
      <w:r>
        <w:rPr>
          <w:spacing w:val="-27"/>
          <w:sz w:val="18"/>
        </w:rPr>
        <w:t> </w:t>
      </w:r>
      <w:r>
        <w:rPr>
          <w:sz w:val="18"/>
        </w:rPr>
        <w:t>arrangements.</w:t>
      </w:r>
    </w:p>
    <w:p>
      <w:pPr>
        <w:pStyle w:val="BodyText"/>
        <w:rPr>
          <w:sz w:val="22"/>
        </w:rPr>
      </w:pPr>
    </w:p>
    <w:p>
      <w:pPr>
        <w:pStyle w:val="Heading4"/>
        <w:numPr>
          <w:ilvl w:val="1"/>
          <w:numId w:val="6"/>
        </w:numPr>
        <w:tabs>
          <w:tab w:pos="2026" w:val="left" w:leader="none"/>
        </w:tabs>
        <w:spacing w:line="240" w:lineRule="auto" w:before="140" w:after="0"/>
        <w:ind w:left="2025" w:right="0" w:hanging="361"/>
        <w:jc w:val="left"/>
      </w:pPr>
      <w:r>
        <w:rPr>
          <w:color w:val="EC8A00"/>
        </w:rPr>
        <w:t>Reorientation of government</w:t>
      </w:r>
      <w:r>
        <w:rPr>
          <w:color w:val="EC8A00"/>
          <w:spacing w:val="-4"/>
        </w:rPr>
        <w:t> </w:t>
      </w:r>
      <w:r>
        <w:rPr>
          <w:color w:val="EC8A00"/>
        </w:rPr>
        <w:t>mechanisms</w:t>
      </w:r>
    </w:p>
    <w:p>
      <w:pPr>
        <w:pStyle w:val="BodyText"/>
        <w:spacing w:before="10"/>
        <w:rPr>
          <w:b/>
          <w:sz w:val="25"/>
        </w:rPr>
      </w:pPr>
    </w:p>
    <w:p>
      <w:pPr>
        <w:pStyle w:val="BodyText"/>
        <w:spacing w:line="264" w:lineRule="auto"/>
        <w:ind w:left="700" w:right="706"/>
      </w:pPr>
      <w:r>
        <w:rPr/>
        <w:t>The Government can build on earlier successes and continue re-orienting its mechanisms to ensure that current policy, processes and practice are aligned with the ongoing transformational change advocated by </w:t>
      </w:r>
      <w:r>
        <w:rPr>
          <w:i/>
        </w:rPr>
        <w:t>Our Way</w:t>
      </w:r>
      <w:r>
        <w:rPr/>
        <w:t>. This can be achieved through the following recommended steps:</w:t>
      </w:r>
    </w:p>
    <w:p>
      <w:pPr>
        <w:pStyle w:val="ListParagraph"/>
        <w:numPr>
          <w:ilvl w:val="1"/>
          <w:numId w:val="9"/>
        </w:numPr>
        <w:tabs>
          <w:tab w:pos="1061" w:val="left" w:leader="none"/>
        </w:tabs>
        <w:spacing w:line="264" w:lineRule="auto" w:before="168" w:after="0"/>
        <w:ind w:left="1060" w:right="1018" w:hanging="360"/>
        <w:jc w:val="left"/>
        <w:rPr>
          <w:sz w:val="18"/>
        </w:rPr>
      </w:pPr>
      <w:r>
        <w:rPr>
          <w:sz w:val="18"/>
        </w:rPr>
        <w:t>Call out and address systemic racism that continues to exist within the system. The Government should publicly acknowledge and challenge unconscious biases that continue to influence decision making. There should be transparent reporting mechanisms of ongoing efforts to highlight this issue and concerted steps to address them (e.g. an annual survey which captures the experiences of Aboriginal and Torres Strait Islander peoples who access frontline services; and the extent to which systemic racism continues to exist within the system).</w:t>
      </w:r>
    </w:p>
    <w:p>
      <w:pPr>
        <w:pStyle w:val="ListParagraph"/>
        <w:numPr>
          <w:ilvl w:val="1"/>
          <w:numId w:val="9"/>
        </w:numPr>
        <w:tabs>
          <w:tab w:pos="1061" w:val="left" w:leader="none"/>
        </w:tabs>
        <w:spacing w:line="264" w:lineRule="auto" w:before="0" w:after="0"/>
        <w:ind w:left="1060" w:right="860" w:hanging="360"/>
        <w:jc w:val="left"/>
        <w:rPr>
          <w:sz w:val="18"/>
        </w:rPr>
      </w:pPr>
      <w:r>
        <w:rPr>
          <w:sz w:val="18"/>
        </w:rPr>
        <w:t>Prioritise strengthening the cultural competency of public sector employees. The Government can consider delivering regular professional development and induction training sessions on how different working contexts can demonstrate alignment to the Aboriginal and Torres Strait Islander Child Placement Principle (henceforth respectfully referred to as Child Placement Principle) and </w:t>
      </w:r>
      <w:r>
        <w:rPr>
          <w:i/>
          <w:sz w:val="18"/>
        </w:rPr>
        <w:t>Our Way</w:t>
      </w:r>
      <w:r>
        <w:rPr>
          <w:sz w:val="18"/>
        </w:rPr>
        <w:t>’s key</w:t>
      </w:r>
      <w:r>
        <w:rPr>
          <w:spacing w:val="-8"/>
          <w:sz w:val="18"/>
        </w:rPr>
        <w:t> </w:t>
      </w:r>
      <w:r>
        <w:rPr>
          <w:sz w:val="18"/>
        </w:rPr>
        <w:t>principles.</w:t>
      </w:r>
    </w:p>
    <w:p>
      <w:pPr>
        <w:pStyle w:val="ListParagraph"/>
        <w:numPr>
          <w:ilvl w:val="1"/>
          <w:numId w:val="9"/>
        </w:numPr>
        <w:tabs>
          <w:tab w:pos="1061" w:val="left" w:leader="none"/>
        </w:tabs>
        <w:spacing w:line="264" w:lineRule="auto" w:before="0" w:after="0"/>
        <w:ind w:left="1060" w:right="1081" w:hanging="360"/>
        <w:jc w:val="left"/>
        <w:rPr>
          <w:sz w:val="18"/>
        </w:rPr>
      </w:pPr>
      <w:r>
        <w:rPr>
          <w:sz w:val="18"/>
        </w:rPr>
        <w:t>Strengthen accountability mechanisms to hold all government and non-government service providers accountable for positive life outcomes for Aboriginal and Torres Strait Islander children. These mechanisms could be in the form</w:t>
      </w:r>
      <w:r>
        <w:rPr>
          <w:spacing w:val="-10"/>
          <w:sz w:val="18"/>
        </w:rPr>
        <w:t> </w:t>
      </w:r>
      <w:r>
        <w:rPr>
          <w:sz w:val="18"/>
        </w:rPr>
        <w:t>of:</w:t>
      </w:r>
    </w:p>
    <w:p>
      <w:pPr>
        <w:pStyle w:val="ListParagraph"/>
        <w:numPr>
          <w:ilvl w:val="2"/>
          <w:numId w:val="9"/>
        </w:numPr>
        <w:tabs>
          <w:tab w:pos="1694" w:val="left" w:leader="none"/>
        </w:tabs>
        <w:spacing w:line="264" w:lineRule="auto" w:before="0" w:after="0"/>
        <w:ind w:left="1694" w:right="797" w:hanging="569"/>
        <w:jc w:val="left"/>
        <w:rPr>
          <w:sz w:val="18"/>
        </w:rPr>
      </w:pPr>
      <w:r>
        <w:rPr>
          <w:sz w:val="18"/>
        </w:rPr>
        <w:t>Explicit KPIs for all public sector workers at all levels – including frontline workers, regional directors and Directors-General. The KPIs could focus on key indicators related to specific life outcomes of Aboriginal and Torres Strait Islander children and the over- representation of Aboriginal and Torres Strait Islander children in the child protection system.</w:t>
      </w:r>
    </w:p>
    <w:p>
      <w:pPr>
        <w:spacing w:after="0" w:line="264" w:lineRule="auto"/>
        <w:jc w:val="left"/>
        <w:rPr>
          <w:sz w:val="18"/>
        </w:rPr>
        <w:sectPr>
          <w:pgSz w:w="11910" w:h="16840"/>
          <w:pgMar w:header="650" w:footer="420" w:top="840" w:bottom="620" w:left="740" w:right="720"/>
        </w:sectPr>
      </w:pPr>
    </w:p>
    <w:p>
      <w:pPr>
        <w:pStyle w:val="BodyText"/>
        <w:rPr>
          <w:sz w:val="20"/>
        </w:rPr>
      </w:pPr>
    </w:p>
    <w:p>
      <w:pPr>
        <w:pStyle w:val="BodyText"/>
        <w:rPr>
          <w:sz w:val="22"/>
        </w:rPr>
      </w:pPr>
    </w:p>
    <w:p>
      <w:pPr>
        <w:pStyle w:val="ListParagraph"/>
        <w:numPr>
          <w:ilvl w:val="2"/>
          <w:numId w:val="9"/>
        </w:numPr>
        <w:tabs>
          <w:tab w:pos="1694" w:val="left" w:leader="none"/>
        </w:tabs>
        <w:spacing w:line="264" w:lineRule="auto" w:before="100" w:after="0"/>
        <w:ind w:left="1694" w:right="1075" w:hanging="569"/>
        <w:jc w:val="left"/>
        <w:rPr>
          <w:sz w:val="18"/>
        </w:rPr>
      </w:pPr>
      <w:r>
        <w:rPr>
          <w:sz w:val="18"/>
        </w:rPr>
        <w:t>Feedback from Aboriginal and Torres Strait Islander peoples on the performance of public sector organisations. This would involve soliciting feedback on an individual agency’s performance from Elders / Aboriginal and Torres Strait Islander community representatives as part of annual performance monitoring</w:t>
      </w:r>
      <w:r>
        <w:rPr>
          <w:spacing w:val="-11"/>
          <w:sz w:val="18"/>
        </w:rPr>
        <w:t> </w:t>
      </w:r>
      <w:r>
        <w:rPr>
          <w:sz w:val="18"/>
        </w:rPr>
        <w:t>measures.</w:t>
      </w:r>
    </w:p>
    <w:p>
      <w:pPr>
        <w:pStyle w:val="ListParagraph"/>
        <w:numPr>
          <w:ilvl w:val="2"/>
          <w:numId w:val="9"/>
        </w:numPr>
        <w:tabs>
          <w:tab w:pos="1694" w:val="left" w:leader="none"/>
        </w:tabs>
        <w:spacing w:line="264" w:lineRule="auto" w:before="0" w:after="0"/>
        <w:ind w:left="1694" w:right="877" w:hanging="569"/>
        <w:jc w:val="left"/>
        <w:rPr>
          <w:sz w:val="18"/>
        </w:rPr>
      </w:pPr>
      <w:r>
        <w:rPr>
          <w:sz w:val="18"/>
        </w:rPr>
        <w:t>Linking funding access to the extent to which frontline agencies have implemented the Child Placement Principle. This would serve as an additional incentive to better embed cultural change among implementing</w:t>
      </w:r>
      <w:r>
        <w:rPr>
          <w:spacing w:val="-2"/>
          <w:sz w:val="18"/>
        </w:rPr>
        <w:t> </w:t>
      </w:r>
      <w:r>
        <w:rPr>
          <w:sz w:val="18"/>
        </w:rPr>
        <w:t>agencies.</w:t>
      </w:r>
    </w:p>
    <w:p>
      <w:pPr>
        <w:pStyle w:val="ListParagraph"/>
        <w:numPr>
          <w:ilvl w:val="1"/>
          <w:numId w:val="9"/>
        </w:numPr>
        <w:tabs>
          <w:tab w:pos="1061" w:val="left" w:leader="none"/>
        </w:tabs>
        <w:spacing w:line="264" w:lineRule="auto" w:before="0" w:after="0"/>
        <w:ind w:left="1060" w:right="747" w:hanging="360"/>
        <w:jc w:val="left"/>
        <w:rPr>
          <w:sz w:val="18"/>
        </w:rPr>
      </w:pPr>
      <w:r>
        <w:rPr/>
        <w:drawing>
          <wp:anchor distT="0" distB="0" distL="0" distR="0" allowOverlap="1" layoutInCell="1" locked="0" behindDoc="0" simplePos="0" relativeHeight="251719680">
            <wp:simplePos x="0" y="0"/>
            <wp:positionH relativeFrom="page">
              <wp:posOffset>929466</wp:posOffset>
            </wp:positionH>
            <wp:positionV relativeFrom="paragraph">
              <wp:posOffset>729456</wp:posOffset>
            </wp:positionV>
            <wp:extent cx="472093" cy="445373"/>
            <wp:effectExtent l="0" t="0" r="0" b="0"/>
            <wp:wrapNone/>
            <wp:docPr id="25" name="image32.jpeg"/>
            <wp:cNvGraphicFramePr>
              <a:graphicFrameLocks noChangeAspect="1"/>
            </wp:cNvGraphicFramePr>
            <a:graphic>
              <a:graphicData uri="http://schemas.openxmlformats.org/drawingml/2006/picture">
                <pic:pic>
                  <pic:nvPicPr>
                    <pic:cNvPr id="26" name="image32.jpeg"/>
                    <pic:cNvPicPr/>
                  </pic:nvPicPr>
                  <pic:blipFill>
                    <a:blip r:embed="rId46" cstate="print"/>
                    <a:stretch>
                      <a:fillRect/>
                    </a:stretch>
                  </pic:blipFill>
                  <pic:spPr>
                    <a:xfrm>
                      <a:off x="0" y="0"/>
                      <a:ext cx="472093" cy="445373"/>
                    </a:xfrm>
                    <a:prstGeom prst="rect">
                      <a:avLst/>
                    </a:prstGeom>
                  </pic:spPr>
                </pic:pic>
              </a:graphicData>
            </a:graphic>
          </wp:anchor>
        </w:drawing>
      </w:r>
      <w:r>
        <w:rPr>
          <w:sz w:val="18"/>
        </w:rPr>
        <w:t>Actively value Aboriginal and Torres Strait Islander culture, knowledge, history and experiences. The Government should move away from the traditional problem-based paradigm and instead, adopt a strengths-based approach which celebrates the resilience and strength of Aboriginal and Torres Strait Islander</w:t>
      </w:r>
      <w:r>
        <w:rPr>
          <w:spacing w:val="-4"/>
          <w:sz w:val="18"/>
        </w:rPr>
        <w:t> </w:t>
      </w:r>
      <w:r>
        <w:rPr>
          <w:sz w:val="18"/>
        </w:rPr>
        <w:t>communities</w:t>
      </w:r>
    </w:p>
    <w:p>
      <w:pPr>
        <w:pStyle w:val="BodyText"/>
        <w:rPr>
          <w:sz w:val="22"/>
        </w:rPr>
      </w:pPr>
    </w:p>
    <w:p>
      <w:pPr>
        <w:pStyle w:val="Heading4"/>
        <w:numPr>
          <w:ilvl w:val="1"/>
          <w:numId w:val="6"/>
        </w:numPr>
        <w:tabs>
          <w:tab w:pos="1944" w:val="left" w:leader="none"/>
        </w:tabs>
        <w:spacing w:line="240" w:lineRule="auto" w:before="144" w:after="0"/>
        <w:ind w:left="1943" w:right="0" w:hanging="361"/>
        <w:jc w:val="left"/>
      </w:pPr>
      <w:r>
        <w:rPr>
          <w:color w:val="EC8A00"/>
        </w:rPr>
        <w:t>Engender greater whole-of-system commitment to achieve </w:t>
      </w:r>
      <w:r>
        <w:rPr>
          <w:i/>
          <w:color w:val="EC8A00"/>
        </w:rPr>
        <w:t>Our Way’s</w:t>
      </w:r>
      <w:r>
        <w:rPr>
          <w:i/>
          <w:color w:val="EC8A00"/>
          <w:spacing w:val="-20"/>
        </w:rPr>
        <w:t> </w:t>
      </w:r>
      <w:r>
        <w:rPr>
          <w:color w:val="EC8A00"/>
        </w:rPr>
        <w:t>objectives</w:t>
      </w:r>
    </w:p>
    <w:p>
      <w:pPr>
        <w:pStyle w:val="BodyText"/>
        <w:rPr>
          <w:b/>
          <w:sz w:val="22"/>
        </w:rPr>
      </w:pPr>
    </w:p>
    <w:p>
      <w:pPr>
        <w:pStyle w:val="BodyText"/>
        <w:spacing w:before="5"/>
        <w:rPr>
          <w:b/>
          <w:sz w:val="22"/>
        </w:rPr>
      </w:pPr>
    </w:p>
    <w:p>
      <w:pPr>
        <w:pStyle w:val="BodyText"/>
        <w:spacing w:line="264" w:lineRule="auto"/>
        <w:ind w:left="700" w:right="1041"/>
      </w:pPr>
      <w:r>
        <w:rPr>
          <w:i/>
        </w:rPr>
        <w:t>Our Way </w:t>
      </w:r>
      <w:r>
        <w:rPr/>
        <w:t>is ultimately a whole-of-government approach. DCYJMA and selected partner agencies have made significant strides in progressing the implementation of the Strategy. However, to achieve the transformative change articulated in the strategy, there needs to be strong engagement and commitment from all players in the system – including central government agencies, the community-controlled sector and non-Indigenous service providers.</w:t>
      </w:r>
    </w:p>
    <w:p>
      <w:pPr>
        <w:pStyle w:val="BodyText"/>
        <w:spacing w:line="264" w:lineRule="auto" w:before="165"/>
        <w:ind w:left="700" w:right="711"/>
      </w:pPr>
      <w:r>
        <w:rPr/>
        <w:t>Improving the life outcomes for Aboriginal and Torres Strait Islander children should be a key priority for all agencies – not merely agencies who deliver specific services. All government agencies need to understand their collective role in supporting positive changes in the system. This can be achieved by:</w:t>
      </w:r>
    </w:p>
    <w:p>
      <w:pPr>
        <w:pStyle w:val="ListParagraph"/>
        <w:numPr>
          <w:ilvl w:val="1"/>
          <w:numId w:val="10"/>
        </w:numPr>
        <w:tabs>
          <w:tab w:pos="1061" w:val="left" w:leader="none"/>
        </w:tabs>
        <w:spacing w:line="264" w:lineRule="auto" w:before="168" w:after="0"/>
        <w:ind w:left="1060" w:right="735" w:hanging="360"/>
        <w:jc w:val="left"/>
        <w:rPr>
          <w:sz w:val="18"/>
        </w:rPr>
      </w:pPr>
      <w:r>
        <w:rPr>
          <w:sz w:val="18"/>
        </w:rPr>
        <w:t>Greater advocacy of the required change from the highest levels of Government. The Government establishes governance arrangements to serve as a centralised point of accountability to raise the visibility of </w:t>
      </w:r>
      <w:r>
        <w:rPr>
          <w:i/>
          <w:sz w:val="18"/>
        </w:rPr>
        <w:t>Our Way</w:t>
      </w:r>
      <w:r>
        <w:rPr>
          <w:sz w:val="18"/>
        </w:rPr>
        <w:t>, increase engagement from other agencies and monitor the implementation of key action plans. This could include the establishment of a Cabinet sub-committee that is chaired by the Premier and includes representation of Aboriginal and Torres Strait Islander peoples. One stakeholder</w:t>
      </w:r>
      <w:r>
        <w:rPr>
          <w:spacing w:val="-15"/>
          <w:sz w:val="18"/>
        </w:rPr>
        <w:t> </w:t>
      </w:r>
      <w:r>
        <w:rPr>
          <w:sz w:val="18"/>
        </w:rPr>
        <w:t>said:</w:t>
      </w:r>
    </w:p>
    <w:p>
      <w:pPr>
        <w:spacing w:line="215" w:lineRule="exact" w:before="0"/>
        <w:ind w:left="1060" w:right="0" w:firstLine="0"/>
        <w:jc w:val="left"/>
        <w:rPr>
          <w:i/>
          <w:sz w:val="18"/>
        </w:rPr>
      </w:pPr>
      <w:r>
        <w:rPr>
          <w:i/>
          <w:color w:val="85BB24"/>
          <w:sz w:val="18"/>
        </w:rPr>
        <w:t>“We would like greater engagement from central agencies around the leadership required to</w:t>
      </w:r>
    </w:p>
    <w:p>
      <w:pPr>
        <w:spacing w:before="21"/>
        <w:ind w:left="1060" w:right="0" w:firstLine="0"/>
        <w:jc w:val="left"/>
        <w:rPr>
          <w:i/>
          <w:sz w:val="18"/>
        </w:rPr>
      </w:pPr>
      <w:r>
        <w:rPr>
          <w:i/>
          <w:color w:val="85BB24"/>
          <w:sz w:val="18"/>
        </w:rPr>
        <w:t>drive the implementation of Our Way”.</w:t>
      </w:r>
    </w:p>
    <w:p>
      <w:pPr>
        <w:pStyle w:val="ListParagraph"/>
        <w:numPr>
          <w:ilvl w:val="1"/>
          <w:numId w:val="10"/>
        </w:numPr>
        <w:tabs>
          <w:tab w:pos="1061" w:val="left" w:leader="none"/>
        </w:tabs>
        <w:spacing w:line="264" w:lineRule="auto" w:before="21" w:after="0"/>
        <w:ind w:left="1060" w:right="924" w:hanging="360"/>
        <w:jc w:val="left"/>
        <w:rPr>
          <w:sz w:val="18"/>
        </w:rPr>
      </w:pPr>
      <w:r>
        <w:rPr>
          <w:sz w:val="18"/>
        </w:rPr>
        <w:t>Development and implementation of strategies to raise awareness of the systemic changes driven by Our Way across different levels of government. A structured communication and engagement strategy could be developed to ensure that information on Our Way’s vision and implementation progress is regularly communicated to all system stakeholders, including frontline workers and community</w:t>
      </w:r>
      <w:r>
        <w:rPr>
          <w:spacing w:val="-7"/>
          <w:sz w:val="18"/>
        </w:rPr>
        <w:t> </w:t>
      </w:r>
      <w:r>
        <w:rPr>
          <w:sz w:val="18"/>
        </w:rPr>
        <w:t>members.</w:t>
      </w:r>
    </w:p>
    <w:p>
      <w:pPr>
        <w:pStyle w:val="ListParagraph"/>
        <w:numPr>
          <w:ilvl w:val="1"/>
          <w:numId w:val="10"/>
        </w:numPr>
        <w:tabs>
          <w:tab w:pos="1061" w:val="left" w:leader="none"/>
        </w:tabs>
        <w:spacing w:line="264" w:lineRule="auto" w:before="0" w:after="0"/>
        <w:ind w:left="1060" w:right="736" w:hanging="360"/>
        <w:jc w:val="left"/>
        <w:rPr>
          <w:sz w:val="18"/>
        </w:rPr>
      </w:pPr>
      <w:r>
        <w:rPr>
          <w:sz w:val="18"/>
        </w:rPr>
        <w:t>Establish collaborative mechanisms to support the alignment of ongoing government strategies to </w:t>
      </w:r>
      <w:r>
        <w:rPr>
          <w:i/>
          <w:sz w:val="18"/>
        </w:rPr>
        <w:t>Our Way</w:t>
      </w:r>
      <w:r>
        <w:rPr>
          <w:sz w:val="18"/>
        </w:rPr>
        <w:t>. This evaluation found there is generally limited visibility of the different strategies that frontline agencies are implementing which will influence the outcomes of Aboriginal and Torres Strait Islander children. There is an opportunity for the design of these strategies to be done in collaboration with other</w:t>
      </w:r>
      <w:r>
        <w:rPr>
          <w:spacing w:val="-6"/>
          <w:sz w:val="18"/>
        </w:rPr>
        <w:t> </w:t>
      </w:r>
      <w:r>
        <w:rPr>
          <w:sz w:val="18"/>
        </w:rPr>
        <w:t>agencies.</w:t>
      </w:r>
    </w:p>
    <w:p>
      <w:pPr>
        <w:pStyle w:val="ListParagraph"/>
        <w:numPr>
          <w:ilvl w:val="1"/>
          <w:numId w:val="10"/>
        </w:numPr>
        <w:tabs>
          <w:tab w:pos="1061" w:val="left" w:leader="none"/>
        </w:tabs>
        <w:spacing w:line="264" w:lineRule="auto" w:before="0" w:after="0"/>
        <w:ind w:left="1060" w:right="791" w:hanging="360"/>
        <w:jc w:val="left"/>
        <w:rPr>
          <w:sz w:val="18"/>
        </w:rPr>
      </w:pPr>
      <w:r>
        <w:rPr>
          <w:sz w:val="18"/>
        </w:rPr>
        <w:t>Communicate the intent and impact of </w:t>
      </w:r>
      <w:r>
        <w:rPr>
          <w:i/>
          <w:sz w:val="18"/>
        </w:rPr>
        <w:t>Our Way </w:t>
      </w:r>
      <w:r>
        <w:rPr>
          <w:sz w:val="18"/>
        </w:rPr>
        <w:t>to Aboriginal and Torres Strait Islander communities. Even though </w:t>
      </w:r>
      <w:r>
        <w:rPr>
          <w:i/>
          <w:sz w:val="18"/>
        </w:rPr>
        <w:t>Our Way </w:t>
      </w:r>
      <w:r>
        <w:rPr>
          <w:sz w:val="18"/>
        </w:rPr>
        <w:t>was implemented in 2017, there has been limited success in raising awareness and building wide-reaching understanding of its intent and approach. Given this, there is an opportunity for more extensive community engagement in the development and implementation of the remaining action</w:t>
      </w:r>
      <w:r>
        <w:rPr>
          <w:spacing w:val="-6"/>
          <w:sz w:val="18"/>
        </w:rPr>
        <w:t> </w:t>
      </w:r>
      <w:r>
        <w:rPr>
          <w:sz w:val="18"/>
        </w:rPr>
        <w:t>plans.</w:t>
      </w:r>
    </w:p>
    <w:p>
      <w:pPr>
        <w:pStyle w:val="ListParagraph"/>
        <w:numPr>
          <w:ilvl w:val="1"/>
          <w:numId w:val="10"/>
        </w:numPr>
        <w:tabs>
          <w:tab w:pos="1061" w:val="left" w:leader="none"/>
        </w:tabs>
        <w:spacing w:line="264" w:lineRule="auto" w:before="0" w:after="0"/>
        <w:ind w:left="1060" w:right="860" w:hanging="360"/>
        <w:jc w:val="left"/>
        <w:rPr>
          <w:i/>
          <w:sz w:val="18"/>
        </w:rPr>
      </w:pPr>
      <w:r>
        <w:rPr>
          <w:sz w:val="18"/>
        </w:rPr>
        <w:t>Embed the voice and perspectives of Aboriginal and Torres Strait Islander peoples when assessing the impact of </w:t>
      </w:r>
      <w:r>
        <w:rPr>
          <w:i/>
          <w:sz w:val="18"/>
        </w:rPr>
        <w:t>Our Way</w:t>
      </w:r>
      <w:r>
        <w:rPr>
          <w:sz w:val="18"/>
        </w:rPr>
        <w:t>. There should be consideration of structured data collection mechanisms (through independent evaluations and regular internal performance monitoring mechanisms) to understand if </w:t>
      </w:r>
      <w:r>
        <w:rPr>
          <w:i/>
          <w:sz w:val="18"/>
        </w:rPr>
        <w:t>Our Way </w:t>
      </w:r>
      <w:r>
        <w:rPr>
          <w:sz w:val="18"/>
        </w:rPr>
        <w:t>has positively impacted their lives. In implementing </w:t>
      </w:r>
      <w:r>
        <w:rPr>
          <w:i/>
          <w:sz w:val="18"/>
        </w:rPr>
        <w:t>Our Way</w:t>
      </w:r>
      <w:r>
        <w:rPr>
          <w:sz w:val="18"/>
        </w:rPr>
        <w:t>, both government and non-government service providers are ultimately accountable to Aboriginal and Torres Strait Islander children, family and community – rather than to targets and numbers. One stakeholder noted that </w:t>
      </w:r>
      <w:r>
        <w:rPr>
          <w:i/>
          <w:color w:val="85BB24"/>
          <w:sz w:val="18"/>
        </w:rPr>
        <w:t>“the only way to measure this</w:t>
      </w:r>
      <w:r>
        <w:rPr>
          <w:i/>
          <w:color w:val="85BB24"/>
          <w:spacing w:val="-29"/>
          <w:sz w:val="18"/>
        </w:rPr>
        <w:t> </w:t>
      </w:r>
      <w:r>
        <w:rPr>
          <w:i/>
          <w:color w:val="85BB24"/>
          <w:sz w:val="18"/>
        </w:rPr>
        <w:t>strategy’s</w:t>
      </w:r>
    </w:p>
    <w:p>
      <w:pPr>
        <w:spacing w:line="215" w:lineRule="exact" w:before="0"/>
        <w:ind w:left="1060" w:right="0" w:firstLine="0"/>
        <w:jc w:val="left"/>
        <w:rPr>
          <w:i/>
          <w:sz w:val="18"/>
        </w:rPr>
      </w:pPr>
      <w:r>
        <w:rPr>
          <w:i/>
          <w:color w:val="85BB24"/>
          <w:sz w:val="18"/>
        </w:rPr>
        <w:t>success is to speak directly to Aboriginal and Torres Islander people.”</w:t>
      </w:r>
    </w:p>
    <w:p>
      <w:pPr>
        <w:spacing w:after="0" w:line="215" w:lineRule="exact"/>
        <w:jc w:val="left"/>
        <w:rPr>
          <w:sz w:val="18"/>
        </w:rPr>
        <w:sectPr>
          <w:pgSz w:w="11910" w:h="16840"/>
          <w:pgMar w:header="650" w:footer="420" w:top="840" w:bottom="620" w:left="740" w:right="720"/>
        </w:sectPr>
      </w:pPr>
    </w:p>
    <w:p>
      <w:pPr>
        <w:pStyle w:val="BodyText"/>
        <w:rPr>
          <w:i/>
          <w:sz w:val="20"/>
        </w:rPr>
      </w:pPr>
    </w:p>
    <w:p>
      <w:pPr>
        <w:pStyle w:val="BodyText"/>
        <w:spacing w:before="5"/>
        <w:rPr>
          <w:i/>
          <w:sz w:val="21"/>
        </w:rPr>
      </w:pPr>
    </w:p>
    <w:p>
      <w:pPr>
        <w:spacing w:before="101"/>
        <w:ind w:left="700" w:right="0" w:firstLine="0"/>
        <w:jc w:val="left"/>
        <w:rPr>
          <w:b/>
          <w:i/>
          <w:sz w:val="22"/>
        </w:rPr>
      </w:pPr>
      <w:bookmarkStart w:name="_bookmark10" w:id="11"/>
      <w:bookmarkEnd w:id="11"/>
      <w:r>
        <w:rPr/>
      </w:r>
      <w:r>
        <w:rPr>
          <w:b/>
          <w:color w:val="61B5E4"/>
          <w:sz w:val="22"/>
        </w:rPr>
        <w:t>Cultural perspectives on </w:t>
      </w:r>
      <w:r>
        <w:rPr>
          <w:b/>
          <w:i/>
          <w:color w:val="61B5E4"/>
          <w:sz w:val="22"/>
        </w:rPr>
        <w:t>Our Way</w:t>
      </w:r>
    </w:p>
    <w:p>
      <w:pPr>
        <w:pStyle w:val="BodyText"/>
        <w:spacing w:line="264" w:lineRule="auto" w:before="20"/>
        <w:ind w:left="700" w:right="887"/>
      </w:pPr>
      <w:r>
        <w:rPr/>
        <w:t>As mentioned in the Baseline Report, cultural considerations are central to the evaluation approach. Maintaining a culturally safe and respectful environment for Aboriginal and Torres Islander children and families were prioritised in the </w:t>
      </w:r>
      <w:r>
        <w:rPr>
          <w:i/>
        </w:rPr>
        <w:t>Our Way </w:t>
      </w:r>
      <w:r>
        <w:rPr/>
        <w:t>evaluation</w:t>
      </w:r>
      <w:r>
        <w:rPr>
          <w:spacing w:val="-15"/>
        </w:rPr>
        <w:t> </w:t>
      </w:r>
      <w:r>
        <w:rPr/>
        <w:t>process.</w:t>
      </w:r>
    </w:p>
    <w:p>
      <w:pPr>
        <w:pStyle w:val="BodyText"/>
        <w:spacing w:line="264" w:lineRule="auto" w:before="168"/>
        <w:ind w:left="700" w:right="832"/>
      </w:pPr>
      <w:r>
        <w:rPr/>
        <w:t>As previously discussed, Aboriginal and Torres Strait Islander children should be the central focus of the </w:t>
      </w:r>
      <w:r>
        <w:rPr>
          <w:i/>
        </w:rPr>
        <w:t>Our Way </w:t>
      </w:r>
      <w:r>
        <w:rPr/>
        <w:t>system, therefore, their outcomes should be central to decision making. All other system stakeholders should collaboratively wrap around Aboriginal and Torres Strait Islander children and young people to ensure they are culturally safe and cared for in family, community and connected to their culture. The importance of building a strengths-based cultural determinant approach to improving wellbeing outcomes for Queensland Aboriginal and Torres Strait Islander children and their families is critical if we are to achieve intergenerational</w:t>
      </w:r>
      <w:r>
        <w:rPr>
          <w:spacing w:val="-22"/>
        </w:rPr>
        <w:t> </w:t>
      </w:r>
      <w:r>
        <w:rPr/>
        <w:t>change.</w:t>
      </w:r>
    </w:p>
    <w:p>
      <w:pPr>
        <w:pStyle w:val="BodyText"/>
        <w:spacing w:line="264" w:lineRule="auto" w:before="164"/>
        <w:ind w:left="700" w:right="758"/>
      </w:pPr>
      <w:r>
        <w:rPr/>
        <w:t>The cultural determinants of wellbeing acknowledge that stronger connections to culture and Country build stronger individual and communal identities, a sense of self-esteem, resilience, and improved outcomes across not just child protection but also in other areas including education, economic empowerment and community safety. ACCOs are key to integrating this approach sector wide.</w:t>
      </w:r>
    </w:p>
    <w:p>
      <w:pPr>
        <w:pStyle w:val="BodyText"/>
        <w:spacing w:line="264" w:lineRule="auto" w:before="168"/>
        <w:ind w:left="700" w:right="717"/>
        <w:jc w:val="both"/>
        <w:rPr>
          <w:sz w:val="12"/>
        </w:rPr>
      </w:pPr>
      <w:r>
        <w:rPr/>
        <w:t>Cultural perspectives on </w:t>
      </w:r>
      <w:r>
        <w:rPr>
          <w:i/>
        </w:rPr>
        <w:t>Our Way </w:t>
      </w:r>
      <w:r>
        <w:rPr/>
        <w:t>in the context of systemic change must include the application of systems</w:t>
      </w:r>
      <w:r>
        <w:rPr>
          <w:spacing w:val="-19"/>
        </w:rPr>
        <w:t> </w:t>
      </w:r>
      <w:r>
        <w:rPr/>
        <w:t>thinking</w:t>
      </w:r>
      <w:r>
        <w:rPr>
          <w:spacing w:val="-18"/>
        </w:rPr>
        <w:t> </w:t>
      </w:r>
      <w:r>
        <w:rPr/>
        <w:t>via</w:t>
      </w:r>
      <w:r>
        <w:rPr>
          <w:spacing w:val="-18"/>
        </w:rPr>
        <w:t> </w:t>
      </w:r>
      <w:r>
        <w:rPr/>
        <w:t>an</w:t>
      </w:r>
      <w:r>
        <w:rPr>
          <w:spacing w:val="-18"/>
        </w:rPr>
        <w:t> </w:t>
      </w:r>
      <w:r>
        <w:rPr/>
        <w:t>Indigenous</w:t>
      </w:r>
      <w:r>
        <w:rPr>
          <w:spacing w:val="-19"/>
        </w:rPr>
        <w:t> </w:t>
      </w:r>
      <w:r>
        <w:rPr/>
        <w:t>lens.</w:t>
      </w:r>
      <w:r>
        <w:rPr>
          <w:spacing w:val="-19"/>
        </w:rPr>
        <w:t> </w:t>
      </w:r>
      <w:r>
        <w:rPr/>
        <w:t>Systems</w:t>
      </w:r>
      <w:r>
        <w:rPr>
          <w:spacing w:val="-19"/>
        </w:rPr>
        <w:t> </w:t>
      </w:r>
      <w:r>
        <w:rPr/>
        <w:t>Thinking</w:t>
      </w:r>
      <w:r>
        <w:rPr>
          <w:spacing w:val="-18"/>
        </w:rPr>
        <w:t> </w:t>
      </w:r>
      <w:r>
        <w:rPr/>
        <w:t>is</w:t>
      </w:r>
      <w:r>
        <w:rPr>
          <w:spacing w:val="-19"/>
        </w:rPr>
        <w:t> </w:t>
      </w:r>
      <w:r>
        <w:rPr/>
        <w:t>an</w:t>
      </w:r>
      <w:r>
        <w:rPr>
          <w:spacing w:val="-17"/>
        </w:rPr>
        <w:t> </w:t>
      </w:r>
      <w:r>
        <w:rPr/>
        <w:t>approach</w:t>
      </w:r>
      <w:r>
        <w:rPr>
          <w:spacing w:val="-18"/>
        </w:rPr>
        <w:t> </w:t>
      </w:r>
      <w:r>
        <w:rPr/>
        <w:t>to</w:t>
      </w:r>
      <w:r>
        <w:rPr>
          <w:spacing w:val="-18"/>
        </w:rPr>
        <w:t> </w:t>
      </w:r>
      <w:r>
        <w:rPr/>
        <w:t>thinking</w:t>
      </w:r>
      <w:r>
        <w:rPr>
          <w:spacing w:val="-18"/>
        </w:rPr>
        <w:t> </w:t>
      </w:r>
      <w:r>
        <w:rPr/>
        <w:t>that</w:t>
      </w:r>
      <w:r>
        <w:rPr>
          <w:spacing w:val="-18"/>
        </w:rPr>
        <w:t> </w:t>
      </w:r>
      <w:r>
        <w:rPr/>
        <w:t>recognises components not existing in isolation, but moreover, existing as part of a larger holistic system. It involves</w:t>
      </w:r>
      <w:r>
        <w:rPr>
          <w:spacing w:val="-20"/>
        </w:rPr>
        <w:t> </w:t>
      </w:r>
      <w:r>
        <w:rPr/>
        <w:t>identifying,</w:t>
      </w:r>
      <w:r>
        <w:rPr>
          <w:spacing w:val="-20"/>
        </w:rPr>
        <w:t> </w:t>
      </w:r>
      <w:r>
        <w:rPr/>
        <w:t>understanding</w:t>
      </w:r>
      <w:r>
        <w:rPr>
          <w:spacing w:val="-18"/>
        </w:rPr>
        <w:t> </w:t>
      </w:r>
      <w:r>
        <w:rPr/>
        <w:t>and</w:t>
      </w:r>
      <w:r>
        <w:rPr>
          <w:spacing w:val="-19"/>
        </w:rPr>
        <w:t> </w:t>
      </w:r>
      <w:r>
        <w:rPr/>
        <w:t>acknowledging</w:t>
      </w:r>
      <w:r>
        <w:rPr>
          <w:spacing w:val="-18"/>
        </w:rPr>
        <w:t> </w:t>
      </w:r>
      <w:r>
        <w:rPr/>
        <w:t>the</w:t>
      </w:r>
      <w:r>
        <w:rPr>
          <w:spacing w:val="-19"/>
        </w:rPr>
        <w:t> </w:t>
      </w:r>
      <w:r>
        <w:rPr/>
        <w:t>interrelationships</w:t>
      </w:r>
      <w:r>
        <w:rPr>
          <w:spacing w:val="-19"/>
        </w:rPr>
        <w:t> </w:t>
      </w:r>
      <w:r>
        <w:rPr/>
        <w:t>and</w:t>
      </w:r>
      <w:r>
        <w:rPr>
          <w:spacing w:val="-22"/>
        </w:rPr>
        <w:t> </w:t>
      </w:r>
      <w:r>
        <w:rPr/>
        <w:t>interactions</w:t>
      </w:r>
      <w:r>
        <w:rPr>
          <w:spacing w:val="-19"/>
        </w:rPr>
        <w:t> </w:t>
      </w:r>
      <w:r>
        <w:rPr/>
        <w:t>among all aspects or elements of a system.</w:t>
      </w:r>
      <w:r>
        <w:rPr>
          <w:position w:val="6"/>
          <w:sz w:val="12"/>
        </w:rPr>
        <w:t>1 </w:t>
      </w:r>
      <w:r>
        <w:rPr/>
        <w:t>This approach to thinking is not new to Indigenous peoples globally, but more of an already accepted process or way of</w:t>
      </w:r>
      <w:r>
        <w:rPr>
          <w:spacing w:val="-16"/>
        </w:rPr>
        <w:t> </w:t>
      </w:r>
      <w:r>
        <w:rPr/>
        <w:t>life.</w:t>
      </w:r>
      <w:r>
        <w:rPr>
          <w:position w:val="6"/>
          <w:sz w:val="12"/>
        </w:rPr>
        <w:t>2</w:t>
      </w:r>
    </w:p>
    <w:p>
      <w:pPr>
        <w:pStyle w:val="BodyText"/>
        <w:spacing w:line="264" w:lineRule="auto" w:before="166"/>
        <w:ind w:left="700" w:right="749"/>
      </w:pPr>
      <w:r>
        <w:rPr/>
        <w:t>High level examples of cultural considerations within </w:t>
      </w:r>
      <w:r>
        <w:rPr>
          <w:i/>
        </w:rPr>
        <w:t>Our Way </w:t>
      </w:r>
      <w:r>
        <w:rPr/>
        <w:t>for systemic change can include defining what the system is that requires change, identifying who exists within the system both directly and indirectly, identifying key roles and influential power holders, identifying barriers or blockages within the system and understanding the relationships within the system. Without relationships, the system cannot be realistically understood or defined; therefore, systemic change cannot be achieved successfully without established and defined relationships or connections.</w:t>
      </w:r>
    </w:p>
    <w:p>
      <w:pPr>
        <w:pStyle w:val="BodyText"/>
        <w:spacing w:line="264" w:lineRule="auto"/>
        <w:ind w:left="700" w:right="956"/>
      </w:pPr>
      <w:r>
        <w:rPr/>
        <w:t>Other examples could include utilisation of holistic approaches to understand sustainable change on a larger scale not just on an individual level – seeing the bigger picture. Ultimately, cultural perspectives embedded into systems thinking for </w:t>
      </w:r>
      <w:r>
        <w:rPr>
          <w:i/>
        </w:rPr>
        <w:t>Our Way </w:t>
      </w:r>
      <w:r>
        <w:rPr/>
        <w:t>will create better opportunity for improved systems organisation, navigation and change.</w:t>
      </w:r>
    </w:p>
    <w:p>
      <w:pPr>
        <w:pStyle w:val="BodyText"/>
        <w:spacing w:line="264" w:lineRule="auto" w:before="165"/>
        <w:ind w:left="700" w:right="838"/>
      </w:pPr>
      <w:r>
        <w:rPr/>
        <w:t>Aboriginal and Torres Strait Islander children and young people within the child protection system exist within a system that is not clearly defined to them, their families or communities.</w:t>
      </w:r>
    </w:p>
    <w:p>
      <w:pPr>
        <w:pStyle w:val="BodyText"/>
        <w:spacing w:line="264" w:lineRule="auto"/>
        <w:ind w:left="700" w:right="770"/>
      </w:pPr>
      <w:r>
        <w:rPr/>
        <w:t>Understanding this system requires understanding other systems and components that have influenced how it exists today. Significant factors of this are historical policy factors and unpacking how the system was first established as well as understanding the changes made to how it exists at present. The difference between how the system existed historically compared to currently is important when defining what exactly the child protection system is. This creates better open opportunity for understanding why systemic change is required. One sector changing within a system will not lead to overall realistic sustainable change. Change to all components or sectors within the system is required for holistic systemic change.</w:t>
      </w:r>
    </w:p>
    <w:p>
      <w:pPr>
        <w:pStyle w:val="BodyText"/>
        <w:spacing w:line="264" w:lineRule="auto" w:before="164"/>
        <w:ind w:left="700" w:right="723"/>
      </w:pPr>
      <w:r>
        <w:rPr/>
        <w:t>A genuine and consistent process needs to be established and embedded across the whole system that identifies who exists in this system and where their responsibility lies. These responsibilities need to be clearly defined and explained to all involved in the system specifically to children, youth</w:t>
      </w:r>
    </w:p>
    <w:p>
      <w:pPr>
        <w:pStyle w:val="BodyText"/>
        <w:spacing w:before="5"/>
        <w:rPr>
          <w:sz w:val="17"/>
        </w:rPr>
      </w:pPr>
      <w:r>
        <w:rPr/>
        <w:pict>
          <v:shape style="position:absolute;margin-left:72.024002pt;margin-top:12.82706pt;width:144.050pt;height:.1pt;mso-position-horizontal-relative:page;mso-position-vertical-relative:paragraph;z-index:-251595776;mso-wrap-distance-left:0;mso-wrap-distance-right:0" coordorigin="1440,257" coordsize="2881,0" path="m1440,257l4321,257e" filled="false" stroked="true" strokeweight=".48004pt" strokecolor="#000000">
            <v:path arrowok="t"/>
            <v:stroke dashstyle="solid"/>
            <w10:wrap type="topAndBottom"/>
          </v:shape>
        </w:pict>
      </w:r>
    </w:p>
    <w:p>
      <w:pPr>
        <w:pStyle w:val="BodyText"/>
        <w:spacing w:before="7"/>
        <w:rPr>
          <w:sz w:val="10"/>
        </w:rPr>
      </w:pPr>
    </w:p>
    <w:p>
      <w:pPr>
        <w:spacing w:line="237" w:lineRule="auto" w:before="103"/>
        <w:ind w:left="700" w:right="887" w:firstLine="0"/>
        <w:jc w:val="left"/>
        <w:rPr>
          <w:sz w:val="14"/>
        </w:rPr>
      </w:pPr>
      <w:r>
        <w:rPr>
          <w:position w:val="5"/>
          <w:sz w:val="9"/>
        </w:rPr>
        <w:t>1 </w:t>
      </w:r>
      <w:r>
        <w:rPr>
          <w:color w:val="232323"/>
          <w:sz w:val="14"/>
        </w:rPr>
        <w:t>Sterman, J, 2004, ‘Systems Thinking and Modelling for Complex World’, </w:t>
      </w:r>
      <w:r>
        <w:rPr>
          <w:i/>
          <w:color w:val="232323"/>
          <w:sz w:val="14"/>
        </w:rPr>
        <w:t>Institute for Operations Research and the </w:t>
      </w:r>
      <w:r>
        <w:rPr>
          <w:i/>
          <w:color w:val="232323"/>
          <w:sz w:val="14"/>
        </w:rPr>
        <w:t>Management of Sciences, </w:t>
      </w:r>
      <w:r>
        <w:rPr>
          <w:color w:val="232323"/>
          <w:sz w:val="14"/>
        </w:rPr>
        <w:t>vol. 34, no. 4, pp. 324-326, viewed 23 May</w:t>
      </w:r>
    </w:p>
    <w:p>
      <w:pPr>
        <w:spacing w:before="1"/>
        <w:ind w:left="700" w:right="0" w:firstLine="0"/>
        <w:jc w:val="left"/>
        <w:rPr>
          <w:sz w:val="14"/>
        </w:rPr>
      </w:pPr>
      <w:r>
        <w:rPr>
          <w:color w:val="232323"/>
          <w:sz w:val="14"/>
        </w:rPr>
        <w:t>2022, </w:t>
      </w:r>
      <w:hyperlink r:id="rId47">
        <w:r>
          <w:rPr>
            <w:color w:val="4F52B1"/>
            <w:sz w:val="14"/>
            <w:u w:val="single" w:color="4F52B1"/>
          </w:rPr>
          <w:t>https://eds.s.ebscohost.com/eds/detail/detail?vid=4&amp;sid=54ac0fea-b389-43c5-9d62-</w:t>
        </w:r>
      </w:hyperlink>
      <w:r>
        <w:rPr>
          <w:color w:val="4F52B1"/>
          <w:sz w:val="14"/>
        </w:rPr>
        <w:t> </w:t>
      </w:r>
      <w:hyperlink r:id="rId47">
        <w:r>
          <w:rPr>
            <w:color w:val="4F52B1"/>
            <w:w w:val="95"/>
            <w:sz w:val="14"/>
            <w:u w:val="single" w:color="4F52B1"/>
          </w:rPr>
          <w:t>1563ceef138a%40redis&amp;bdata=JnNpdGU9ZWRzLWxpdmUmc2NvcGU9c2l0ZQ%3d%3d#AN=deakin.b1972118&amp;db=cat00097a</w:t>
        </w:r>
      </w:hyperlink>
    </w:p>
    <w:p>
      <w:pPr>
        <w:spacing w:line="242" w:lineRule="auto" w:before="0"/>
        <w:ind w:left="700" w:right="825" w:firstLine="0"/>
        <w:jc w:val="left"/>
        <w:rPr>
          <w:sz w:val="14"/>
        </w:rPr>
      </w:pPr>
      <w:r>
        <w:rPr>
          <w:position w:val="6"/>
          <w:sz w:val="10"/>
        </w:rPr>
        <w:t>2 </w:t>
      </w:r>
      <w:r>
        <w:rPr>
          <w:color w:val="232323"/>
          <w:sz w:val="14"/>
        </w:rPr>
        <w:t>Heke, I, Rees, D, Swinburn, B, Waititi, R, Stewart, A, 2019, ‘Systems thinking and Indigenous systems: Native contributions to obesity prevention’, </w:t>
      </w:r>
      <w:r>
        <w:rPr>
          <w:i/>
          <w:color w:val="232323"/>
          <w:sz w:val="14"/>
        </w:rPr>
        <w:t>AlterNative: An international Journal of Indigenous Peoples, </w:t>
      </w:r>
      <w:r>
        <w:rPr>
          <w:color w:val="232323"/>
          <w:sz w:val="14"/>
        </w:rPr>
        <w:t>vol. 15, no. 1, pp. 22-30, viewed 23 May 2022, </w:t>
      </w:r>
      <w:hyperlink r:id="rId48">
        <w:r>
          <w:rPr>
            <w:color w:val="4F52B1"/>
            <w:sz w:val="14"/>
            <w:u w:val="single" w:color="4F52B1"/>
          </w:rPr>
          <w:t>https://eds.s.ebscohost.com/eds/detail/detail?vid=0&amp;sid=b62ab508-3a27-4bdc-b608-</w:t>
        </w:r>
      </w:hyperlink>
      <w:r>
        <w:rPr>
          <w:color w:val="4F52B1"/>
          <w:sz w:val="14"/>
        </w:rPr>
        <w:t> </w:t>
      </w:r>
      <w:hyperlink r:id="rId48">
        <w:r>
          <w:rPr>
            <w:color w:val="4F52B1"/>
            <w:w w:val="95"/>
            <w:sz w:val="14"/>
            <w:u w:val="single" w:color="4F52B1"/>
          </w:rPr>
          <w:t>26e39b124417%40redis&amp;bdata=JnNpdGU9ZWRzLWxpdmUmc2NvcGU9c2l0ZQ%3d%3d#AN=edsihc.299158058366987&amp;db=ed</w:t>
        </w:r>
      </w:hyperlink>
      <w:r>
        <w:rPr>
          <w:color w:val="4F52B1"/>
          <w:w w:val="95"/>
          <w:sz w:val="14"/>
        </w:rPr>
        <w:t>    </w:t>
      </w:r>
      <w:hyperlink r:id="rId48">
        <w:r>
          <w:rPr>
            <w:color w:val="4F52B1"/>
            <w:sz w:val="14"/>
            <w:u w:val="single" w:color="4F52B1"/>
          </w:rPr>
          <w:t>sihc</w:t>
        </w:r>
      </w:hyperlink>
    </w:p>
    <w:p>
      <w:pPr>
        <w:spacing w:after="0" w:line="242" w:lineRule="auto"/>
        <w:jc w:val="left"/>
        <w:rPr>
          <w:sz w:val="14"/>
        </w:rPr>
        <w:sectPr>
          <w:pgSz w:w="11910" w:h="16840"/>
          <w:pgMar w:header="650" w:footer="420" w:top="840" w:bottom="620" w:left="740" w:right="720"/>
        </w:sectPr>
      </w:pPr>
    </w:p>
    <w:p>
      <w:pPr>
        <w:pStyle w:val="BodyText"/>
        <w:rPr>
          <w:sz w:val="20"/>
        </w:rPr>
      </w:pPr>
    </w:p>
    <w:p>
      <w:pPr>
        <w:pStyle w:val="BodyText"/>
        <w:rPr>
          <w:sz w:val="22"/>
        </w:rPr>
      </w:pPr>
    </w:p>
    <w:p>
      <w:pPr>
        <w:pStyle w:val="BodyText"/>
        <w:spacing w:line="264" w:lineRule="auto" w:before="100"/>
        <w:ind w:left="700" w:right="899"/>
      </w:pPr>
      <w:r>
        <w:rPr/>
        <w:t>and families within the child protection system. Relationships of those within the child protection system should not be vague. The interconnection within all systems involves relationships and behaviours. These relationships within the child protection system need to be clearly defined and maintained. Naturally, any imbalanced relationship creates risk to the person at the centre of the system; the child or young person. Creating risk or systems complications for the child or young person contradicts the purpose of protection and safety. Therefore, strong and clearly defined relationships throughout the whole child protection system are vital to support the safety and protection of a child or young person. This includes defined maintained relationships between all services and stakeholders within the system, both government and non-government.</w:t>
      </w:r>
    </w:p>
    <w:p>
      <w:pPr>
        <w:pStyle w:val="BodyText"/>
        <w:spacing w:line="264" w:lineRule="auto" w:before="165"/>
        <w:ind w:left="700" w:right="735"/>
      </w:pPr>
      <w:r>
        <w:rPr/>
        <w:t>Ensuring that cultural perspectives are embedded in the system can be demonstrated in consistent and culturally safe delivered services across all areas involved with a child or young person within the system. Strong supported human resource processes and procedures, including culturally supportive supervision, competency training and mentoring are required to ensure cultural perspectives are integrated. Aboriginal and Torres Strait Islander models of care and engagement should be used across all services in conjunction with intersectional and intercultural collaborative approaches when working within the child protection system.</w:t>
      </w:r>
    </w:p>
    <w:p>
      <w:pPr>
        <w:spacing w:after="0" w:line="264" w:lineRule="auto"/>
        <w:sectPr>
          <w:pgSz w:w="11910" w:h="16840"/>
          <w:pgMar w:header="650" w:footer="420" w:top="840" w:bottom="620" w:left="740" w:right="720"/>
        </w:sectPr>
      </w:pPr>
    </w:p>
    <w:p>
      <w:pPr>
        <w:pStyle w:val="BodyText"/>
        <w:spacing w:before="11"/>
        <w:rPr>
          <w:sz w:val="19"/>
        </w:rPr>
      </w:pPr>
    </w:p>
    <w:p>
      <w:pPr>
        <w:pStyle w:val="Heading2"/>
        <w:spacing w:before="101"/>
        <w:ind w:left="240" w:firstLine="0"/>
      </w:pPr>
      <w:bookmarkStart w:name="_bookmark11" w:id="12"/>
      <w:bookmarkEnd w:id="12"/>
      <w:r>
        <w:rPr>
          <w:b w:val="0"/>
        </w:rPr>
      </w:r>
      <w:r>
        <w:rPr>
          <w:color w:val="61B5E4"/>
        </w:rPr>
        <w:t>Recommended areas of focus</w:t>
      </w:r>
    </w:p>
    <w:p>
      <w:pPr>
        <w:pStyle w:val="BodyText"/>
        <w:rPr>
          <w:b/>
          <w:sz w:val="20"/>
        </w:rPr>
      </w:pPr>
    </w:p>
    <w:p>
      <w:pPr>
        <w:pStyle w:val="BodyText"/>
        <w:spacing w:before="6"/>
        <w:rPr>
          <w:b/>
          <w:sz w:val="22"/>
        </w:rPr>
      </w:pPr>
    </w:p>
    <w:p>
      <w:pPr>
        <w:pStyle w:val="Heading4"/>
        <w:tabs>
          <w:tab w:pos="4622" w:val="left" w:leader="none"/>
          <w:tab w:pos="7808" w:val="left" w:leader="none"/>
          <w:tab w:pos="10894" w:val="left" w:leader="none"/>
        </w:tabs>
        <w:spacing w:before="102"/>
        <w:ind w:left="1362"/>
      </w:pPr>
      <w:r>
        <w:rPr/>
        <w:pict>
          <v:group style="position:absolute;margin-left:116.399811pt;margin-top:-5.66133pt;width:595.7pt;height:148.5pt;mso-position-horizontal-relative:page;mso-position-vertical-relative:paragraph;z-index:-258205696" coordorigin="2328,-113" coordsize="11914,2970">
            <v:rect style="position:absolute;left:2566;top:279;width:3031;height:1755" filled="true" fillcolor="#f9c497" stroked="false">
              <v:fill type="solid"/>
            </v:rect>
            <v:shape style="position:absolute;left:5588;top:-114;width:8654;height:2148" type="#_x0000_t75" stroked="false">
              <v:imagedata r:id="rId51" o:title=""/>
            </v:shape>
            <v:shape style="position:absolute;left:2337;top:-103;width:566;height:641" coordorigin="2338,-103" coordsize="566,641" path="m2621,-103l2556,-95,2496,-70,2444,-33,2400,17,2367,76,2345,144,2338,217,2345,291,2367,358,2400,418,2444,467,2496,505,2556,529,2621,537,2686,529,2745,505,2798,467,2841,418,2875,358,2896,291,2904,217,2896,144,2875,76,2841,17,2798,-33,2745,-70,2686,-95,2621,-103xe" filled="true" fillcolor="#f9c497" stroked="false">
              <v:path arrowok="t"/>
              <v:fill type="solid"/>
            </v:shape>
            <v:shape style="position:absolute;left:2328;top:-114;width:586;height:662" coordorigin="2328,-113" coordsize="586,662" path="m2636,-113l2606,-113,2562,-107,2534,-99,2520,-93,2507,-87,2494,-81,2481,-73,2457,-57,2434,-37,2414,-15,2395,7,2378,33,2363,61,2357,75,2351,89,2346,105,2341,119,2337,135,2334,151,2331,169,2330,185,2328,201,2328,219,2328,235,2329,253,2331,269,2334,285,2337,301,2341,317,2346,333,2351,347,2357,363,2363,377,2378,403,2395,429,2414,453,2434,475,2457,493,2481,509,2494,517,2507,523,2520,529,2534,535,2576,547,2591,549,2651,549,2665,547,2694,539,2708,535,2721,529,2726,527,2607,527,2593,525,2593,525,2579,523,2579,523,2565,521,2566,521,2552,517,2553,517,2539,513,2540,513,2527,509,2527,509,2514,503,2515,503,2502,497,2503,497,2494,491,2491,491,2468,475,2469,475,2447,457,2448,457,2428,437,2428,437,2410,415,2410,415,2394,391,2395,391,2381,365,2381,365,2375,353,2375,353,2369,339,2369,339,2364,325,2365,325,2361,311,2360,311,2356,295,2357,295,2353,281,2353,281,2351,265,2351,265,2349,251,2349,251,2348,235,2348,235,2348,219,2348,203,2348,203,2349,187,2349,187,2351,171,2351,171,2354,155,2354,155,2357,141,2356,141,2360,127,2360,127,2365,111,2365,111,2369,97,2370,97,2375,85,2375,85,2381,71,2381,71,2395,45,2395,45,2410,21,2411,21,2428,-1,2429,-1,2448,-21,2449,-21,2469,-39,2471,-39,2491,-53,2491,-53,2503,-61,2505,-61,2515,-67,2514,-67,2527,-71,2527,-71,2540,-77,2539,-77,2553,-81,2552,-81,2566,-85,2565,-85,2579,-87,2579,-87,2593,-89,2593,-89,2607,-91,2726,-91,2721,-93,2708,-99,2680,-107,2636,-113xm2751,489l2739,497,2739,497,2727,503,2727,503,2714,509,2715,509,2702,513,2702,513,2689,517,2689,517,2676,521,2676,521,2662,523,2663,523,2648,525,2649,525,2635,527,2726,527,2748,517,2760,509,2785,493,2787,491,2750,491,2751,489xm2491,489l2491,491,2494,491,2491,489xm2885,295l2881,311,2881,311,2877,325,2877,325,2872,339,2872,339,2867,353,2867,353,2861,365,2861,365,2847,391,2847,391,2831,415,2832,415,2813,437,2814,437,2794,457,2795,457,2773,475,2774,475,2750,491,2787,491,2807,475,2828,453,2847,429,2864,403,2878,377,2885,363,2891,347,2896,333,2900,317,2904,301,2905,297,2885,297,2885,295xm2360,309l2360,311,2361,311,2360,309xm2892,249l2891,265,2888,281,2885,297,2905,297,2908,285,2910,269,2912,253,2912,251,2892,251,2892,249xm2349,249l2349,251,2349,251,2349,249xm2908,155l2888,155,2891,171,2892,187,2893,203,2894,219,2893,235,2892,251,2912,251,2913,235,2914,219,2913,201,2912,185,2910,169,2908,155xm2354,155l2354,155,2353,157,2354,155xm2898,111l2877,111,2881,127,2881,127,2885,141,2885,141,2888,157,2888,155,2908,155,2908,151,2904,135,2900,119,2898,111xm2365,111l2365,111,2364,113,2365,111xm2893,97l2872,97,2877,113,2877,111,2898,111,2896,105,2893,97xm2370,97l2369,97,2369,99,2370,97xm2870,45l2847,45,2861,71,2861,71,2867,85,2867,85,2872,99,2872,97,2893,97,2891,89,2885,75,2878,61,2870,45xm2395,45l2395,45,2394,47,2395,45xm2856,21l2831,21,2847,47,2847,45,2870,45,2864,33,2856,21xm2411,21l2410,21,2410,23,2411,21xm2840,-1l2813,-1,2832,23,2831,21,2856,21,2847,7,2840,-1xm2429,-1l2428,-1,2427,1,2429,-1xm2822,-21l2794,-21,2814,1,2813,-1,2840,-1,2828,-15,2822,-21xm2449,-21l2448,-21,2447,-19,2449,-21xm2805,-39l2773,-39,2795,-19,2794,-21,2822,-21,2807,-37,2805,-39xm2471,-39l2469,-39,2468,-37,2471,-39xm2778,-61l2739,-61,2751,-53,2750,-53,2774,-37,2773,-39,2805,-39,2785,-57,2778,-61xm2505,-61l2503,-61,2502,-59,2505,-61xm2726,-91l2635,-91,2649,-89,2648,-89,2663,-87,2662,-87,2676,-85,2676,-85,2689,-81,2689,-81,2702,-77,2702,-77,2715,-71,2714,-71,2727,-67,2727,-67,2739,-59,2739,-61,2778,-61,2760,-73,2748,-81,2726,-91xe" filled="true" fillcolor="#ffffff" stroked="false">
              <v:path arrowok="t"/>
              <v:fill type="solid"/>
            </v:shape>
            <v:shape style="position:absolute;left:8934;top:2573;width:582;height:283" coordorigin="8934,2574" coordsize="582,283" path="m9515,2574l8934,2574,8934,2856,9515,2574xe" filled="true" fillcolor="#e2e3e4" stroked="false">
              <v:path arrowok="t"/>
              <v:fill type="solid"/>
            </v:shape>
            <v:shape style="position:absolute;left:9295;top:2078;width:1241;height:467" type="#_x0000_t75" stroked="false">
              <v:imagedata r:id="rId52" o:title=""/>
            </v:shape>
            <w10:wrap type="none"/>
          </v:group>
        </w:pict>
      </w:r>
      <w:r>
        <w:rPr/>
        <w:t>1</w:t>
        <w:tab/>
        <w:t>2</w:t>
        <w:tab/>
        <w:t>3</w:t>
        <w:tab/>
        <w:t>4</w:t>
      </w:r>
    </w:p>
    <w:p>
      <w:pPr>
        <w:pStyle w:val="BodyText"/>
        <w:spacing w:before="8"/>
        <w:rPr>
          <w:b/>
        </w:rPr>
      </w:pPr>
    </w:p>
    <w:p>
      <w:pPr>
        <w:spacing w:after="0"/>
        <w:sectPr>
          <w:headerReference w:type="default" r:id="rId49"/>
          <w:footerReference w:type="default" r:id="rId50"/>
          <w:pgSz w:w="16840" w:h="11910" w:orient="landscape"/>
          <w:pgMar w:header="650" w:footer="420" w:top="1180" w:bottom="620" w:left="1200" w:right="1460"/>
          <w:pgNumType w:start="16"/>
        </w:sectPr>
      </w:pPr>
    </w:p>
    <w:p>
      <w:pPr>
        <w:pStyle w:val="BodyText"/>
        <w:spacing w:before="1"/>
        <w:rPr>
          <w:b/>
          <w:sz w:val="29"/>
        </w:rPr>
      </w:pPr>
    </w:p>
    <w:p>
      <w:pPr>
        <w:spacing w:line="237" w:lineRule="auto" w:before="0"/>
        <w:ind w:left="292" w:right="47" w:firstLine="181"/>
        <w:jc w:val="right"/>
        <w:rPr>
          <w:b/>
          <w:sz w:val="24"/>
        </w:rPr>
      </w:pPr>
      <w:r>
        <w:rPr>
          <w:b/>
          <w:color w:val="303030"/>
          <w:spacing w:val="-1"/>
          <w:w w:val="85"/>
          <w:sz w:val="24"/>
        </w:rPr>
        <w:t>Future </w:t>
      </w:r>
      <w:r>
        <w:rPr>
          <w:b/>
          <w:color w:val="303030"/>
          <w:w w:val="90"/>
          <w:sz w:val="24"/>
        </w:rPr>
        <w:t>areas</w:t>
      </w:r>
      <w:r>
        <w:rPr>
          <w:b/>
          <w:color w:val="303030"/>
          <w:spacing w:val="-14"/>
          <w:w w:val="90"/>
          <w:sz w:val="24"/>
        </w:rPr>
        <w:t> </w:t>
      </w:r>
      <w:r>
        <w:rPr>
          <w:b/>
          <w:color w:val="303030"/>
          <w:spacing w:val="-9"/>
          <w:w w:val="90"/>
          <w:sz w:val="24"/>
        </w:rPr>
        <w:t>of</w:t>
      </w:r>
    </w:p>
    <w:p>
      <w:pPr>
        <w:spacing w:line="291" w:lineRule="exact" w:before="0"/>
        <w:ind w:left="0" w:right="48" w:firstLine="0"/>
        <w:jc w:val="right"/>
        <w:rPr>
          <w:b/>
          <w:sz w:val="24"/>
        </w:rPr>
      </w:pPr>
      <w:r>
        <w:rPr/>
        <w:drawing>
          <wp:anchor distT="0" distB="0" distL="0" distR="0" allowOverlap="1" layoutInCell="1" locked="0" behindDoc="0" simplePos="0" relativeHeight="251723776">
            <wp:simplePos x="0" y="0"/>
            <wp:positionH relativeFrom="page">
              <wp:posOffset>1688487</wp:posOffset>
            </wp:positionH>
            <wp:positionV relativeFrom="paragraph">
              <wp:posOffset>451380</wp:posOffset>
            </wp:positionV>
            <wp:extent cx="4134946" cy="170688"/>
            <wp:effectExtent l="0" t="0" r="0" b="0"/>
            <wp:wrapNone/>
            <wp:docPr id="27" name="image35.jpeg"/>
            <wp:cNvGraphicFramePr>
              <a:graphicFrameLocks noChangeAspect="1"/>
            </wp:cNvGraphicFramePr>
            <a:graphic>
              <a:graphicData uri="http://schemas.openxmlformats.org/drawingml/2006/picture">
                <pic:pic>
                  <pic:nvPicPr>
                    <pic:cNvPr id="28" name="image35.jpeg"/>
                    <pic:cNvPicPr/>
                  </pic:nvPicPr>
                  <pic:blipFill>
                    <a:blip r:embed="rId53" cstate="print"/>
                    <a:stretch>
                      <a:fillRect/>
                    </a:stretch>
                  </pic:blipFill>
                  <pic:spPr>
                    <a:xfrm>
                      <a:off x="0" y="0"/>
                      <a:ext cx="4134946" cy="170688"/>
                    </a:xfrm>
                    <a:prstGeom prst="rect">
                      <a:avLst/>
                    </a:prstGeom>
                  </pic:spPr>
                </pic:pic>
              </a:graphicData>
            </a:graphic>
          </wp:anchor>
        </w:drawing>
      </w:r>
      <w:r>
        <w:rPr>
          <w:b/>
          <w:color w:val="303030"/>
          <w:spacing w:val="-1"/>
          <w:w w:val="85"/>
          <w:sz w:val="24"/>
        </w:rPr>
        <w:t>focus</w:t>
      </w:r>
    </w:p>
    <w:p>
      <w:pPr>
        <w:pStyle w:val="BodyText"/>
        <w:rPr>
          <w:b/>
          <w:sz w:val="28"/>
        </w:rPr>
      </w:pPr>
    </w:p>
    <w:p>
      <w:pPr>
        <w:pStyle w:val="BodyText"/>
        <w:rPr>
          <w:b/>
          <w:sz w:val="28"/>
        </w:rPr>
      </w:pPr>
    </w:p>
    <w:p>
      <w:pPr>
        <w:pStyle w:val="BodyText"/>
        <w:spacing w:before="2"/>
        <w:rPr>
          <w:b/>
          <w:sz w:val="23"/>
        </w:rPr>
      </w:pPr>
    </w:p>
    <w:p>
      <w:pPr>
        <w:spacing w:line="312" w:lineRule="auto" w:before="0"/>
        <w:ind w:left="102" w:right="0" w:firstLine="137"/>
        <w:jc w:val="left"/>
        <w:rPr>
          <w:b/>
          <w:sz w:val="24"/>
        </w:rPr>
      </w:pPr>
      <w:r>
        <w:rPr/>
        <w:pict>
          <v:shape style="position:absolute;margin-left:128.324509pt;margin-top:-8.078367pt;width:151.35pt;height:50.3pt;mso-position-horizontal-relative:page;mso-position-vertical-relative:paragraph;z-index:251728896" type="#_x0000_t202" filled="true" fillcolor="#e2e3e4" stroked="false">
            <v:textbox inset="0,0,0,0">
              <w:txbxContent>
                <w:p>
                  <w:pPr>
                    <w:spacing w:before="66"/>
                    <w:ind w:left="263" w:right="261" w:hanging="2"/>
                    <w:jc w:val="center"/>
                    <w:rPr>
                      <w:b/>
                      <w:sz w:val="18"/>
                    </w:rPr>
                  </w:pPr>
                  <w:r>
                    <w:rPr>
                      <w:b/>
                      <w:sz w:val="18"/>
                    </w:rPr>
                    <w:t>Strong governance </w:t>
                  </w:r>
                  <w:r>
                    <w:rPr>
                      <w:b/>
                      <w:w w:val="90"/>
                      <w:sz w:val="18"/>
                    </w:rPr>
                    <w:t>arrangements</w:t>
                  </w:r>
                  <w:r>
                    <w:rPr>
                      <w:b/>
                      <w:spacing w:val="-26"/>
                      <w:w w:val="90"/>
                      <w:sz w:val="18"/>
                    </w:rPr>
                    <w:t> </w:t>
                  </w:r>
                  <w:r>
                    <w:rPr>
                      <w:b/>
                      <w:w w:val="90"/>
                      <w:sz w:val="18"/>
                    </w:rPr>
                    <w:t>which</w:t>
                  </w:r>
                  <w:r>
                    <w:rPr>
                      <w:b/>
                      <w:spacing w:val="-26"/>
                      <w:w w:val="90"/>
                      <w:sz w:val="18"/>
                    </w:rPr>
                    <w:t> </w:t>
                  </w:r>
                  <w:r>
                    <w:rPr>
                      <w:b/>
                      <w:w w:val="90"/>
                      <w:sz w:val="18"/>
                    </w:rPr>
                    <w:t>embed Indigenous leadership and </w:t>
                  </w:r>
                  <w:r>
                    <w:rPr>
                      <w:b/>
                      <w:sz w:val="18"/>
                    </w:rPr>
                    <w:t>community</w:t>
                  </w:r>
                  <w:r>
                    <w:rPr>
                      <w:b/>
                      <w:spacing w:val="-28"/>
                      <w:sz w:val="18"/>
                    </w:rPr>
                    <w:t> </w:t>
                  </w:r>
                  <w:r>
                    <w:rPr>
                      <w:b/>
                      <w:sz w:val="18"/>
                    </w:rPr>
                    <w:t>voice</w:t>
                  </w:r>
                </w:p>
              </w:txbxContent>
            </v:textbox>
            <v:fill type="solid"/>
            <w10:wrap type="none"/>
          </v:shape>
        </w:pict>
      </w:r>
      <w:r>
        <w:rPr>
          <w:b/>
          <w:color w:val="303030"/>
          <w:spacing w:val="-1"/>
          <w:w w:val="85"/>
          <w:sz w:val="24"/>
        </w:rPr>
        <w:t>Enablers </w:t>
      </w:r>
      <w:r>
        <w:rPr>
          <w:b/>
          <w:color w:val="303030"/>
          <w:w w:val="90"/>
          <w:sz w:val="24"/>
        </w:rPr>
        <w:t>of</w:t>
      </w:r>
      <w:r>
        <w:rPr>
          <w:b/>
          <w:color w:val="303030"/>
          <w:spacing w:val="-21"/>
          <w:w w:val="90"/>
          <w:sz w:val="24"/>
        </w:rPr>
        <w:t> </w:t>
      </w:r>
      <w:r>
        <w:rPr>
          <w:b/>
          <w:color w:val="303030"/>
          <w:spacing w:val="-3"/>
          <w:w w:val="90"/>
          <w:sz w:val="24"/>
        </w:rPr>
        <w:t>change</w:t>
      </w:r>
    </w:p>
    <w:p>
      <w:pPr>
        <w:spacing w:before="102"/>
        <w:ind w:left="72" w:right="8" w:firstLine="0"/>
        <w:jc w:val="center"/>
        <w:rPr>
          <w:b/>
          <w:sz w:val="21"/>
        </w:rPr>
      </w:pPr>
      <w:r>
        <w:rPr/>
        <w:br w:type="column"/>
      </w:r>
      <w:r>
        <w:rPr>
          <w:b/>
          <w:w w:val="90"/>
          <w:sz w:val="21"/>
        </w:rPr>
        <w:t>Recognise and implement </w:t>
      </w:r>
      <w:r>
        <w:rPr>
          <w:b/>
          <w:sz w:val="21"/>
        </w:rPr>
        <w:t>the transformative </w:t>
      </w:r>
      <w:r>
        <w:rPr>
          <w:b/>
          <w:w w:val="95"/>
          <w:sz w:val="21"/>
        </w:rPr>
        <w:t>changes that </w:t>
      </w:r>
      <w:r>
        <w:rPr>
          <w:b/>
          <w:i/>
          <w:w w:val="95"/>
          <w:sz w:val="21"/>
        </w:rPr>
        <w:t>Our Way </w:t>
      </w:r>
      <w:r>
        <w:rPr>
          <w:b/>
          <w:sz w:val="21"/>
        </w:rPr>
        <w:t>requires</w:t>
      </w:r>
    </w:p>
    <w:p>
      <w:pPr>
        <w:spacing w:before="102"/>
        <w:ind w:left="73" w:right="9" w:firstLine="0"/>
        <w:jc w:val="center"/>
        <w:rPr>
          <w:b/>
          <w:sz w:val="21"/>
        </w:rPr>
      </w:pPr>
      <w:r>
        <w:rPr/>
        <w:br w:type="column"/>
      </w:r>
      <w:r>
        <w:rPr>
          <w:b/>
          <w:w w:val="90"/>
          <w:sz w:val="21"/>
        </w:rPr>
        <w:t>Support the sustainable </w:t>
      </w:r>
      <w:r>
        <w:rPr>
          <w:b/>
          <w:w w:val="95"/>
          <w:sz w:val="21"/>
        </w:rPr>
        <w:t>development of the </w:t>
      </w:r>
      <w:r>
        <w:rPr>
          <w:b/>
          <w:w w:val="90"/>
          <w:sz w:val="21"/>
        </w:rPr>
        <w:t>community-controlled </w:t>
      </w:r>
      <w:r>
        <w:rPr>
          <w:b/>
          <w:sz w:val="21"/>
        </w:rPr>
        <w:t>sector</w:t>
      </w:r>
    </w:p>
    <w:p>
      <w:pPr>
        <w:spacing w:line="254" w:lineRule="exact" w:before="102"/>
        <w:ind w:left="4088" w:right="0" w:firstLine="0"/>
        <w:jc w:val="left"/>
        <w:rPr>
          <w:b/>
          <w:sz w:val="21"/>
        </w:rPr>
      </w:pPr>
      <w:r>
        <w:rPr/>
        <w:br w:type="column"/>
      </w:r>
      <w:r>
        <w:rPr>
          <w:b/>
          <w:sz w:val="21"/>
        </w:rPr>
        <w:t>En</w:t>
      </w:r>
    </w:p>
    <w:p>
      <w:pPr>
        <w:spacing w:before="0"/>
        <w:ind w:left="102" w:right="2580" w:firstLine="422"/>
        <w:jc w:val="left"/>
        <w:rPr>
          <w:b/>
          <w:sz w:val="21"/>
        </w:rPr>
      </w:pPr>
      <w:r>
        <w:rPr/>
        <w:pict>
          <v:group style="position:absolute;margin-left:288.790131pt;margin-top:83.265045pt;width:147.5pt;height:50.3pt;mso-position-horizontal-relative:page;mso-position-vertical-relative:paragraph;z-index:251725824" coordorigin="5776,1665" coordsize="2950,1006">
            <v:shape style="position:absolute;left:5775;top:1665;width:2950;height:1006" coordorigin="5776,1665" coordsize="2950,1006" path="m8725,1665l5776,1665,5776,2671,7454,2671,8725,2054,8725,1665xe" filled="true" fillcolor="#e2e3e4" stroked="false">
              <v:path arrowok="t"/>
              <v:fill type="solid"/>
            </v:shape>
            <v:shape style="position:absolute;left:5775;top:1665;width:2950;height:1006" type="#_x0000_t202" filled="false" stroked="false">
              <v:textbox inset="0,0,0,0">
                <w:txbxContent>
                  <w:p>
                    <w:pPr>
                      <w:spacing w:line="240" w:lineRule="auto" w:before="5"/>
                      <w:rPr>
                        <w:b/>
                        <w:sz w:val="23"/>
                      </w:rPr>
                    </w:pPr>
                  </w:p>
                  <w:p>
                    <w:pPr>
                      <w:spacing w:before="0"/>
                      <w:ind w:left="1211" w:right="0" w:hanging="912"/>
                      <w:jc w:val="left"/>
                      <w:rPr>
                        <w:b/>
                        <w:sz w:val="18"/>
                      </w:rPr>
                    </w:pPr>
                    <w:r>
                      <w:rPr>
                        <w:b/>
                        <w:w w:val="90"/>
                        <w:sz w:val="18"/>
                      </w:rPr>
                      <w:t>Supportive legislation and </w:t>
                    </w:r>
                    <w:r>
                      <w:rPr>
                        <w:b/>
                        <w:sz w:val="18"/>
                      </w:rPr>
                      <w:t>policy</w:t>
                    </w:r>
                  </w:p>
                </w:txbxContent>
              </v:textbox>
              <w10:wrap type="none"/>
            </v:shape>
            <w10:wrap type="none"/>
          </v:group>
        </w:pict>
      </w:r>
      <w:r>
        <w:rPr>
          <w:b/>
          <w:sz w:val="21"/>
        </w:rPr>
        <w:t>Re-orientation of </w:t>
      </w:r>
      <w:r>
        <w:rPr>
          <w:b/>
          <w:w w:val="90"/>
          <w:sz w:val="21"/>
        </w:rPr>
        <w:t>government mechanisms</w:t>
      </w:r>
    </w:p>
    <w:p>
      <w:pPr>
        <w:spacing w:after="0"/>
        <w:jc w:val="left"/>
        <w:rPr>
          <w:sz w:val="21"/>
        </w:rPr>
        <w:sectPr>
          <w:type w:val="continuous"/>
          <w:pgSz w:w="16840" w:h="11910" w:orient="landscape"/>
          <w:pgMar w:top="700" w:bottom="280" w:left="1200" w:right="1460"/>
          <w:cols w:num="4" w:equalWidth="0">
            <w:col w:w="1309" w:space="123"/>
            <w:col w:w="2838" w:space="443"/>
            <w:col w:w="2639" w:space="443"/>
            <w:col w:w="6385"/>
          </w:cols>
        </w:sectPr>
      </w:pPr>
    </w:p>
    <w:p>
      <w:pPr>
        <w:pStyle w:val="BodyText"/>
        <w:rPr>
          <w:b/>
          <w:sz w:val="13"/>
        </w:rPr>
      </w:pPr>
    </w:p>
    <w:p>
      <w:pPr>
        <w:pStyle w:val="BodyText"/>
        <w:ind w:left="4575"/>
        <w:rPr>
          <w:sz w:val="20"/>
        </w:rPr>
      </w:pPr>
      <w:r>
        <w:rPr>
          <w:sz w:val="20"/>
        </w:rPr>
        <w:pict>
          <v:group style="width:76.3pt;height:37.050pt;mso-position-horizontal-relative:char;mso-position-vertical-relative:line" coordorigin="0,0" coordsize="1526,741">
            <v:shape style="position:absolute;left:0;top:0;width:1526;height:741" coordorigin="0,0" coordsize="1526,741" path="m1525,0l0,0,0,740,1525,0xe" filled="true" fillcolor="#e2e3e4" stroked="false">
              <v:path arrowok="t"/>
              <v:fill type="solid"/>
            </v:shape>
          </v:group>
        </w:pict>
      </w:r>
      <w:r>
        <w:rPr>
          <w:sz w:val="20"/>
        </w:rPr>
      </w:r>
    </w:p>
    <w:p>
      <w:pPr>
        <w:pStyle w:val="BodyText"/>
        <w:rPr>
          <w:b/>
          <w:sz w:val="20"/>
        </w:rPr>
      </w:pPr>
    </w:p>
    <w:p>
      <w:pPr>
        <w:pStyle w:val="BodyText"/>
        <w:spacing w:before="10"/>
        <w:rPr>
          <w:b/>
          <w:sz w:val="27"/>
        </w:rPr>
      </w:pPr>
    </w:p>
    <w:p>
      <w:pPr>
        <w:spacing w:before="1"/>
        <w:ind w:left="454" w:right="0" w:firstLine="0"/>
        <w:jc w:val="left"/>
        <w:rPr>
          <w:b/>
          <w:sz w:val="24"/>
        </w:rPr>
      </w:pPr>
      <w:r>
        <w:rPr/>
        <w:pict>
          <v:group style="position:absolute;margin-left:128.324509pt;margin-top:-68.531303pt;width:151.35pt;height:115.65pt;mso-position-horizontal-relative:page;mso-position-vertical-relative:paragraph;z-index:251727872" coordorigin="2566,-1371" coordsize="3027,2313">
            <v:shape style="position:absolute;left:2566;top:-1371;width:3027;height:2313" coordorigin="2566,-1371" coordsize="3027,2313" path="m5593,-1371l2566,-1371,2566,942,5593,-527,5593,-1371xe" filled="true" fillcolor="#e2e3e4" stroked="false">
              <v:path arrowok="t"/>
              <v:fill type="solid"/>
            </v:shape>
            <v:shape style="position:absolute;left:2566;top:-1371;width:3027;height:2313" type="#_x0000_t202" filled="false" stroked="false">
              <v:textbox inset="0,0,0,0">
                <w:txbxContent>
                  <w:p>
                    <w:pPr>
                      <w:spacing w:line="240" w:lineRule="auto" w:before="0"/>
                      <w:rPr>
                        <w:b/>
                        <w:sz w:val="20"/>
                      </w:rPr>
                    </w:pPr>
                  </w:p>
                  <w:p>
                    <w:pPr>
                      <w:spacing w:line="240" w:lineRule="auto" w:before="3"/>
                      <w:rPr>
                        <w:b/>
                        <w:sz w:val="22"/>
                      </w:rPr>
                    </w:pPr>
                  </w:p>
                  <w:p>
                    <w:pPr>
                      <w:numPr>
                        <w:ilvl w:val="0"/>
                        <w:numId w:val="11"/>
                      </w:numPr>
                      <w:tabs>
                        <w:tab w:pos="276" w:val="left" w:leader="none"/>
                      </w:tabs>
                      <w:spacing w:line="244" w:lineRule="auto" w:before="0"/>
                      <w:ind w:left="275" w:right="147" w:hanging="181"/>
                      <w:jc w:val="left"/>
                      <w:rPr>
                        <w:i/>
                        <w:sz w:val="16"/>
                      </w:rPr>
                    </w:pPr>
                    <w:r>
                      <w:rPr>
                        <w:w w:val="95"/>
                        <w:sz w:val="16"/>
                      </w:rPr>
                      <w:t>Align</w:t>
                    </w:r>
                    <w:r>
                      <w:rPr>
                        <w:spacing w:val="-26"/>
                        <w:w w:val="95"/>
                        <w:sz w:val="16"/>
                      </w:rPr>
                      <w:t> </w:t>
                    </w:r>
                    <w:r>
                      <w:rPr>
                        <w:w w:val="95"/>
                        <w:sz w:val="16"/>
                      </w:rPr>
                      <w:t>existing</w:t>
                    </w:r>
                    <w:r>
                      <w:rPr>
                        <w:spacing w:val="-24"/>
                        <w:w w:val="95"/>
                        <w:sz w:val="16"/>
                      </w:rPr>
                      <w:t> </w:t>
                    </w:r>
                    <w:r>
                      <w:rPr>
                        <w:w w:val="95"/>
                        <w:sz w:val="16"/>
                      </w:rPr>
                      <w:t>and</w:t>
                    </w:r>
                    <w:r>
                      <w:rPr>
                        <w:spacing w:val="-27"/>
                        <w:w w:val="95"/>
                        <w:sz w:val="16"/>
                      </w:rPr>
                      <w:t> </w:t>
                    </w:r>
                    <w:r>
                      <w:rPr>
                        <w:w w:val="95"/>
                        <w:sz w:val="16"/>
                      </w:rPr>
                      <w:t>new</w:t>
                    </w:r>
                    <w:r>
                      <w:rPr>
                        <w:spacing w:val="-26"/>
                        <w:w w:val="95"/>
                        <w:sz w:val="16"/>
                      </w:rPr>
                      <w:t> </w:t>
                    </w:r>
                    <w:r>
                      <w:rPr>
                        <w:w w:val="95"/>
                        <w:sz w:val="16"/>
                      </w:rPr>
                      <w:t>government </w:t>
                    </w:r>
                    <w:r>
                      <w:rPr>
                        <w:sz w:val="16"/>
                      </w:rPr>
                      <w:t>policy, legislation and strategies with </w:t>
                    </w:r>
                    <w:r>
                      <w:rPr>
                        <w:i/>
                        <w:sz w:val="16"/>
                      </w:rPr>
                      <w:t>Our</w:t>
                    </w:r>
                    <w:r>
                      <w:rPr>
                        <w:i/>
                        <w:spacing w:val="-15"/>
                        <w:sz w:val="16"/>
                      </w:rPr>
                      <w:t> </w:t>
                    </w:r>
                    <w:r>
                      <w:rPr>
                        <w:i/>
                        <w:sz w:val="16"/>
                      </w:rPr>
                      <w:t>Way</w:t>
                    </w:r>
                  </w:p>
                  <w:p>
                    <w:pPr>
                      <w:numPr>
                        <w:ilvl w:val="0"/>
                        <w:numId w:val="11"/>
                      </w:numPr>
                      <w:tabs>
                        <w:tab w:pos="276" w:val="left" w:leader="none"/>
                      </w:tabs>
                      <w:spacing w:line="244" w:lineRule="auto" w:before="2"/>
                      <w:ind w:left="275" w:right="698" w:hanging="181"/>
                      <w:jc w:val="left"/>
                      <w:rPr>
                        <w:sz w:val="16"/>
                      </w:rPr>
                    </w:pPr>
                    <w:r>
                      <w:rPr>
                        <w:sz w:val="16"/>
                      </w:rPr>
                      <w:t>Use</w:t>
                    </w:r>
                    <w:r>
                      <w:rPr>
                        <w:spacing w:val="-40"/>
                        <w:sz w:val="16"/>
                      </w:rPr>
                      <w:t> </w:t>
                    </w:r>
                    <w:r>
                      <w:rPr>
                        <w:sz w:val="16"/>
                      </w:rPr>
                      <w:t>the</w:t>
                    </w:r>
                    <w:r>
                      <w:rPr>
                        <w:spacing w:val="-39"/>
                        <w:sz w:val="16"/>
                      </w:rPr>
                      <w:t> </w:t>
                    </w:r>
                    <w:r>
                      <w:rPr>
                        <w:sz w:val="16"/>
                      </w:rPr>
                      <w:t>Theory</w:t>
                    </w:r>
                    <w:r>
                      <w:rPr>
                        <w:spacing w:val="-40"/>
                        <w:sz w:val="16"/>
                      </w:rPr>
                      <w:t> </w:t>
                    </w:r>
                    <w:r>
                      <w:rPr>
                        <w:sz w:val="16"/>
                      </w:rPr>
                      <w:t>of</w:t>
                    </w:r>
                    <w:r>
                      <w:rPr>
                        <w:spacing w:val="-40"/>
                        <w:sz w:val="16"/>
                      </w:rPr>
                      <w:t> </w:t>
                    </w:r>
                    <w:r>
                      <w:rPr>
                        <w:sz w:val="16"/>
                      </w:rPr>
                      <w:t>Change</w:t>
                    </w:r>
                    <w:r>
                      <w:rPr>
                        <w:spacing w:val="-39"/>
                        <w:sz w:val="16"/>
                      </w:rPr>
                      <w:t> </w:t>
                    </w:r>
                    <w:r>
                      <w:rPr>
                        <w:sz w:val="16"/>
                      </w:rPr>
                      <w:t>a program logic model t common</w:t>
                    </w:r>
                    <w:r>
                      <w:rPr>
                        <w:spacing w:val="-11"/>
                        <w:sz w:val="16"/>
                      </w:rPr>
                      <w:t> </w:t>
                    </w:r>
                    <w:r>
                      <w:rPr>
                        <w:sz w:val="16"/>
                      </w:rPr>
                      <w:t>goals</w:t>
                    </w:r>
                  </w:p>
                  <w:p>
                    <w:pPr>
                      <w:numPr>
                        <w:ilvl w:val="0"/>
                        <w:numId w:val="11"/>
                      </w:numPr>
                      <w:tabs>
                        <w:tab w:pos="276" w:val="left" w:leader="none"/>
                      </w:tabs>
                      <w:spacing w:line="244" w:lineRule="auto" w:before="2"/>
                      <w:ind w:left="275" w:right="1920" w:hanging="181"/>
                      <w:jc w:val="left"/>
                      <w:rPr>
                        <w:sz w:val="16"/>
                      </w:rPr>
                    </w:pPr>
                    <w:r>
                      <w:rPr>
                        <w:w w:val="95"/>
                        <w:sz w:val="16"/>
                      </w:rPr>
                      <w:t>Establish</w:t>
                    </w:r>
                    <w:r>
                      <w:rPr>
                        <w:spacing w:val="-25"/>
                        <w:w w:val="95"/>
                        <w:sz w:val="16"/>
                      </w:rPr>
                      <w:t> </w:t>
                    </w:r>
                    <w:r>
                      <w:rPr>
                        <w:spacing w:val="-6"/>
                        <w:w w:val="95"/>
                        <w:sz w:val="16"/>
                      </w:rPr>
                      <w:t>tr </w:t>
                    </w:r>
                    <w:r>
                      <w:rPr>
                        <w:sz w:val="16"/>
                      </w:rPr>
                      <w:t>repor</w:t>
                    </w:r>
                  </w:p>
                  <w:p>
                    <w:pPr>
                      <w:spacing w:before="12"/>
                      <w:ind w:left="95" w:right="0" w:firstLine="0"/>
                      <w:jc w:val="left"/>
                      <w:rPr>
                        <w:rFonts w:ascii="Arial" w:hAnsi="Arial"/>
                        <w:sz w:val="16"/>
                      </w:rPr>
                    </w:pPr>
                    <w:r>
                      <w:rPr>
                        <w:rFonts w:ascii="Arial" w:hAnsi="Arial"/>
                        <w:w w:val="91"/>
                        <w:sz w:val="16"/>
                      </w:rPr>
                      <w:t>•</w:t>
                    </w:r>
                  </w:p>
                </w:txbxContent>
              </v:textbox>
              <w10:wrap type="none"/>
            </v:shape>
            <w10:wrap type="none"/>
          </v:group>
        </w:pict>
      </w:r>
      <w:r>
        <w:rPr>
          <w:b/>
          <w:color w:val="303030"/>
          <w:sz w:val="24"/>
        </w:rPr>
        <w:t>Details</w:t>
      </w:r>
    </w:p>
    <w:p>
      <w:pPr>
        <w:spacing w:after="0"/>
        <w:jc w:val="left"/>
        <w:rPr>
          <w:sz w:val="24"/>
        </w:rPr>
        <w:sectPr>
          <w:type w:val="continuous"/>
          <w:pgSz w:w="16840" w:h="11910" w:orient="landscape"/>
          <w:pgMar w:top="700" w:bottom="280" w:left="1200" w:right="1460"/>
        </w:sectPr>
      </w:pPr>
    </w:p>
    <w:p>
      <w:pPr>
        <w:pStyle w:val="BodyText"/>
        <w:spacing w:before="2"/>
        <w:rPr>
          <w:b/>
          <w:sz w:val="14"/>
        </w:rPr>
      </w:pPr>
    </w:p>
    <w:p>
      <w:pPr>
        <w:pStyle w:val="Heading2"/>
        <w:spacing w:before="101"/>
        <w:ind w:left="240" w:firstLine="0"/>
      </w:pPr>
      <w:bookmarkStart w:name="_bookmark12" w:id="13"/>
      <w:bookmarkEnd w:id="13"/>
      <w:r>
        <w:rPr>
          <w:b w:val="0"/>
        </w:rPr>
      </w:r>
      <w:r>
        <w:rPr>
          <w:color w:val="61B5E4"/>
        </w:rPr>
        <w:t>Theory of Change</w:t>
      </w:r>
    </w:p>
    <w:p>
      <w:pPr>
        <w:spacing w:after="0"/>
        <w:sectPr>
          <w:pgSz w:w="16840" w:h="11910" w:orient="landscape"/>
          <w:pgMar w:header="650" w:footer="420" w:top="1180" w:bottom="620" w:left="1200" w:right="1460"/>
        </w:sectPr>
      </w:pPr>
    </w:p>
    <w:p>
      <w:pPr>
        <w:pStyle w:val="BodyText"/>
        <w:spacing w:before="2"/>
        <w:rPr>
          <w:b/>
          <w:sz w:val="14"/>
        </w:rPr>
      </w:pPr>
      <w:r>
        <w:rPr/>
        <w:pict>
          <v:group style="position:absolute;margin-left:78.87812pt;margin-top:302.849091pt;width:146.35pt;height:95.15pt;mso-position-horizontal-relative:page;mso-position-vertical-relative:page;z-index:251748352" coordorigin="1578,6057" coordsize="2927,1903">
            <v:shape style="position:absolute;left:1577;top:6057;width:2927;height:1903" coordorigin="1578,6057" coordsize="2927,1903" path="m4504,7663l1578,7663,1578,7959,4172,7959,4190,7949,4484,7792,4494,7787,4504,7782,4504,7683,4504,7673,4504,7663m4504,6057l4484,6057,4484,6077,4484,7597,1598,7597,1598,6077,4484,6077,4484,6057,1578,6057,1578,7617,4504,7617,4504,7607,4504,7597,4504,6077,4504,6067,4504,6057e" filled="true" fillcolor="#993300" stroked="false">
              <v:path arrowok="t"/>
              <v:fill type="solid"/>
            </v:shape>
            <v:shape style="position:absolute;left:1680;top:6135;width:2738;height:1398" type="#_x0000_t202" filled="false" stroked="false">
              <v:textbox inset="0,0,0,0">
                <w:txbxContent>
                  <w:p>
                    <w:pPr>
                      <w:numPr>
                        <w:ilvl w:val="0"/>
                        <w:numId w:val="12"/>
                      </w:numPr>
                      <w:tabs>
                        <w:tab w:pos="181" w:val="left" w:leader="none"/>
                      </w:tabs>
                      <w:spacing w:before="7"/>
                      <w:ind w:left="180" w:right="0" w:hanging="181"/>
                      <w:jc w:val="left"/>
                      <w:rPr>
                        <w:sz w:val="10"/>
                      </w:rPr>
                    </w:pPr>
                    <w:r>
                      <w:rPr>
                        <w:w w:val="105"/>
                        <w:sz w:val="10"/>
                      </w:rPr>
                      <w:t>Acknowledge and address systemic</w:t>
                    </w:r>
                    <w:r>
                      <w:rPr>
                        <w:spacing w:val="1"/>
                        <w:w w:val="105"/>
                        <w:sz w:val="10"/>
                      </w:rPr>
                      <w:t> </w:t>
                    </w:r>
                    <w:r>
                      <w:rPr>
                        <w:w w:val="105"/>
                        <w:sz w:val="10"/>
                      </w:rPr>
                      <w:t>racism</w:t>
                    </w:r>
                  </w:p>
                  <w:p>
                    <w:pPr>
                      <w:numPr>
                        <w:ilvl w:val="0"/>
                        <w:numId w:val="12"/>
                      </w:numPr>
                      <w:tabs>
                        <w:tab w:pos="181" w:val="left" w:leader="none"/>
                      </w:tabs>
                      <w:spacing w:before="92"/>
                      <w:ind w:left="180" w:right="0" w:hanging="181"/>
                      <w:jc w:val="left"/>
                      <w:rPr>
                        <w:sz w:val="10"/>
                      </w:rPr>
                    </w:pPr>
                    <w:r>
                      <w:rPr>
                        <w:w w:val="105"/>
                        <w:sz w:val="10"/>
                      </w:rPr>
                      <w:t>Strengthen data collection to measure</w:t>
                    </w:r>
                    <w:r>
                      <w:rPr>
                        <w:spacing w:val="23"/>
                        <w:w w:val="105"/>
                        <w:sz w:val="10"/>
                      </w:rPr>
                      <w:t> </w:t>
                    </w:r>
                    <w:r>
                      <w:rPr>
                        <w:w w:val="105"/>
                        <w:sz w:val="10"/>
                      </w:rPr>
                      <w:t>changes</w:t>
                    </w:r>
                  </w:p>
                  <w:p>
                    <w:pPr>
                      <w:spacing w:before="14"/>
                      <w:ind w:left="180" w:right="0" w:firstLine="0"/>
                      <w:jc w:val="left"/>
                      <w:rPr>
                        <w:sz w:val="10"/>
                      </w:rPr>
                    </w:pPr>
                    <w:r>
                      <w:rPr>
                        <w:w w:val="105"/>
                        <w:sz w:val="10"/>
                      </w:rPr>
                      <w:t>in First Nations’ children’s lives</w:t>
                    </w:r>
                  </w:p>
                  <w:p>
                    <w:pPr>
                      <w:numPr>
                        <w:ilvl w:val="0"/>
                        <w:numId w:val="12"/>
                      </w:numPr>
                      <w:tabs>
                        <w:tab w:pos="181" w:val="left" w:leader="none"/>
                      </w:tabs>
                      <w:spacing w:before="94"/>
                      <w:ind w:left="180" w:right="0" w:hanging="181"/>
                      <w:jc w:val="left"/>
                      <w:rPr>
                        <w:sz w:val="10"/>
                      </w:rPr>
                    </w:pPr>
                    <w:r>
                      <w:rPr>
                        <w:w w:val="105"/>
                        <w:sz w:val="10"/>
                      </w:rPr>
                      <w:t>Improve cultural safety and</w:t>
                    </w:r>
                    <w:r>
                      <w:rPr>
                        <w:spacing w:val="4"/>
                        <w:w w:val="105"/>
                        <w:sz w:val="10"/>
                      </w:rPr>
                      <w:t> </w:t>
                    </w:r>
                    <w:r>
                      <w:rPr>
                        <w:w w:val="105"/>
                        <w:sz w:val="10"/>
                      </w:rPr>
                      <w:t>competency</w:t>
                    </w:r>
                  </w:p>
                  <w:p>
                    <w:pPr>
                      <w:numPr>
                        <w:ilvl w:val="0"/>
                        <w:numId w:val="12"/>
                      </w:numPr>
                      <w:tabs>
                        <w:tab w:pos="181" w:val="left" w:leader="none"/>
                      </w:tabs>
                      <w:spacing w:before="94"/>
                      <w:ind w:left="180" w:right="0" w:hanging="181"/>
                      <w:jc w:val="left"/>
                      <w:rPr>
                        <w:sz w:val="10"/>
                      </w:rPr>
                    </w:pPr>
                    <w:r>
                      <w:rPr>
                        <w:w w:val="105"/>
                        <w:sz w:val="10"/>
                      </w:rPr>
                      <w:t>Improve shared responsibility</w:t>
                    </w:r>
                    <w:r>
                      <w:rPr>
                        <w:spacing w:val="-3"/>
                        <w:w w:val="105"/>
                        <w:sz w:val="10"/>
                      </w:rPr>
                      <w:t> </w:t>
                    </w:r>
                    <w:r>
                      <w:rPr>
                        <w:w w:val="105"/>
                        <w:sz w:val="10"/>
                      </w:rPr>
                      <w:t>and</w:t>
                    </w:r>
                  </w:p>
                  <w:p>
                    <w:pPr>
                      <w:spacing w:before="15"/>
                      <w:ind w:left="180" w:right="0" w:firstLine="0"/>
                      <w:jc w:val="left"/>
                      <w:rPr>
                        <w:sz w:val="10"/>
                      </w:rPr>
                    </w:pPr>
                    <w:r>
                      <w:rPr>
                        <w:w w:val="110"/>
                        <w:sz w:val="10"/>
                      </w:rPr>
                      <w:t>accountability</w:t>
                    </w:r>
                  </w:p>
                  <w:p>
                    <w:pPr>
                      <w:numPr>
                        <w:ilvl w:val="0"/>
                        <w:numId w:val="12"/>
                      </w:numPr>
                      <w:tabs>
                        <w:tab w:pos="181" w:val="left" w:leader="none"/>
                      </w:tabs>
                      <w:spacing w:line="268" w:lineRule="auto" w:before="92"/>
                      <w:ind w:left="180" w:right="351" w:hanging="181"/>
                      <w:jc w:val="left"/>
                      <w:rPr>
                        <w:sz w:val="10"/>
                      </w:rPr>
                    </w:pPr>
                    <w:r>
                      <w:rPr>
                        <w:w w:val="105"/>
                        <w:sz w:val="10"/>
                      </w:rPr>
                      <w:t>More equitable funding and procurement processes</w:t>
                    </w:r>
                  </w:p>
                </w:txbxContent>
              </v:textbox>
              <w10:wrap type="none"/>
            </v:shape>
            <v:shape style="position:absolute;left:1680;top:7744;width:1984;height:131" type="#_x0000_t202" filled="false" stroked="false">
              <v:textbox inset="0,0,0,0">
                <w:txbxContent>
                  <w:p>
                    <w:pPr>
                      <w:spacing w:before="7"/>
                      <w:ind w:left="0" w:right="0" w:firstLine="0"/>
                      <w:jc w:val="left"/>
                      <w:rPr>
                        <w:b/>
                        <w:sz w:val="10"/>
                      </w:rPr>
                    </w:pPr>
                    <w:r>
                      <w:rPr>
                        <w:b/>
                        <w:color w:val="FFFFFF"/>
                        <w:w w:val="105"/>
                        <w:sz w:val="10"/>
                      </w:rPr>
                      <w:t>4. Whole-of system commitment</w:t>
                    </w:r>
                  </w:p>
                </w:txbxContent>
              </v:textbox>
              <w10:wrap type="none"/>
            </v:shape>
            <w10:wrap type="none"/>
          </v:group>
        </w:pict>
      </w:r>
    </w:p>
    <w:p>
      <w:pPr>
        <w:pStyle w:val="Heading2"/>
        <w:spacing w:before="101"/>
        <w:ind w:left="240" w:firstLine="0"/>
      </w:pPr>
      <w:r>
        <w:rPr/>
        <w:pict>
          <v:group style="position:absolute;margin-left:76.617638pt;margin-top:59.873623pt;width:145.35pt;height:21.75pt;mso-position-horizontal-relative:page;mso-position-vertical-relative:paragraph;z-index:251735040" coordorigin="1532,1197" coordsize="2907,435">
            <v:shape style="position:absolute;left:1532;top:1197;width:2907;height:435" coordorigin="1532,1197" coordsize="2907,435" path="m4221,1197l1532,1197,1750,1415,1532,1632,4221,1632,4439,1415,4221,1197xe" filled="true" fillcolor="#f9c497" stroked="false">
              <v:path arrowok="t"/>
              <v:fill type="solid"/>
            </v:shape>
            <v:shape style="position:absolute;left:1532;top:1197;width:2907;height:435" type="#_x0000_t202" filled="false" stroked="false">
              <v:textbox inset="0,0,0,0">
                <w:txbxContent>
                  <w:p>
                    <w:pPr>
                      <w:spacing w:before="30"/>
                      <w:ind w:left="483" w:right="484" w:firstLine="0"/>
                      <w:jc w:val="center"/>
                      <w:rPr>
                        <w:b/>
                        <w:sz w:val="10"/>
                      </w:rPr>
                    </w:pPr>
                    <w:r>
                      <w:rPr>
                        <w:b/>
                        <w:w w:val="105"/>
                        <w:sz w:val="10"/>
                      </w:rPr>
                      <w:t>Future areas of focus</w:t>
                    </w:r>
                  </w:p>
                  <w:p>
                    <w:pPr>
                      <w:spacing w:line="252" w:lineRule="auto" w:before="6"/>
                      <w:ind w:left="484" w:right="484" w:firstLine="0"/>
                      <w:jc w:val="center"/>
                      <w:rPr>
                        <w:i/>
                        <w:sz w:val="10"/>
                      </w:rPr>
                    </w:pPr>
                    <w:r>
                      <w:rPr>
                        <w:i/>
                        <w:w w:val="105"/>
                        <w:sz w:val="10"/>
                      </w:rPr>
                      <w:t>(guidance to influence the design of </w:t>
                    </w:r>
                    <w:r>
                      <w:rPr>
                        <w:i/>
                        <w:w w:val="105"/>
                        <w:sz w:val="10"/>
                      </w:rPr>
                      <w:t>action plans)</w:t>
                    </w:r>
                  </w:p>
                </w:txbxContent>
              </v:textbox>
              <w10:wrap type="none"/>
            </v:shape>
            <w10:wrap type="none"/>
          </v:group>
        </w:pict>
      </w:r>
      <w:r>
        <w:rPr/>
        <w:pict>
          <v:group style="position:absolute;margin-left:229.84671pt;margin-top:59.234516pt;width:486pt;height:259.7pt;mso-position-horizontal-relative:page;mso-position-vertical-relative:paragraph;z-index:251739136" coordorigin="4597,1185" coordsize="9720,5194">
            <v:shape style="position:absolute;left:5132;top:1273;width:12205;height:4880" coordorigin="5133,1274" coordsize="12205,4880" path="m4863,4120l8824,4120m13001,1888l4863,1888,4863,4120m4863,5136l6922,5136m8387,4353l4863,4353,4863,5136e" filled="false" stroked="true" strokeweight=".66629pt" strokecolor="#993300">
              <v:path arrowok="t"/>
              <v:stroke dashstyle="solid"/>
            </v:shape>
            <v:shape style="position:absolute;left:4596;top:2216;width:253;height:4162" coordorigin="4597,2217" coordsize="253,4162" path="m4597,2217l4597,6379,4707,6320,4850,4837,4597,2217xe" filled="true" fillcolor="#cc6600" stroked="false">
              <v:path arrowok="t"/>
              <v:fill type="solid"/>
            </v:shape>
            <v:shape style="position:absolute;left:13360;top:1694;width:3;height:2" coordorigin="13360,1694" coordsize="3,2" path="m13363,1694l13360,1694,13360,1696e" filled="false" stroked="true" strokeweight=".666002pt" strokecolor="#993300">
              <v:path arrowok="t"/>
              <v:stroke dashstyle="solid"/>
            </v:shape>
            <v:shape style="position:absolute;left:4849;top:1184;width:9467;height:448" coordorigin="4850,1185" coordsize="9467,448" path="m13328,1415l13111,1197,4850,1197,5068,1415,4850,1632,13111,1632,13328,1415m14316,1185l13368,1185,13587,1403,13368,1621,13500,1621,14316,1185e" filled="true" fillcolor="#f9c497" stroked="false">
              <v:path arrowok="t"/>
              <v:fill type="solid"/>
            </v:shape>
            <v:shape style="position:absolute;left:4853;top:1685;width:8413;height:2646" coordorigin="4853,1685" coordsize="8413,2646" path="m8748,4160l4853,4160,4853,4330,8430,4330,8448,4320,8467,4311,8711,4180,8711,4180,8729,4170,8748,4160m13266,1685l4853,1685,4853,1855,13061,1855,13080,1845,13246,1757,13256,1752,13266,1746,13266,1705,13266,1695,13266,1685e" filled="true" fillcolor="#993300" stroked="false">
              <v:path arrowok="t"/>
              <v:fill type="solid"/>
            </v:shape>
            <v:shape style="position:absolute;left:5132;top:6592;width:2268;height:934" coordorigin="5133,6592" coordsize="2268,934" path="m4863,6050l5212,6050m6375,5429l4863,5429,4863,6050e" filled="false" stroked="true" strokeweight=".66629pt" strokecolor="#993300">
              <v:path arrowok="t"/>
              <v:stroke dashstyle="solid"/>
            </v:shape>
            <v:shape style="position:absolute;left:4853;top:5202;width:1946;height:171" coordorigin="4853,5202" coordsize="1946,171" path="m6798,5202l4853,5202,4853,5372,6480,5372,6499,5362,6517,5352,6761,5222,6780,5212,6798,5202e" filled="true" fillcolor="#993300" stroked="false">
              <v:path arrowok="t"/>
              <v:fill type="solid"/>
            </v:shape>
            <v:shape style="position:absolute;left:4853;top:6100;width:265;height:142" type="#_x0000_t75" stroked="false">
              <v:imagedata r:id="rId54" o:title=""/>
            </v:shape>
            <v:shape style="position:absolute;left:6347;top:1284;width:5501;height:258" type="#_x0000_t202" filled="false" stroked="false">
              <v:textbox inset="0,0,0,0">
                <w:txbxContent>
                  <w:p>
                    <w:pPr>
                      <w:spacing w:before="7"/>
                      <w:ind w:left="30" w:right="46" w:firstLine="0"/>
                      <w:jc w:val="center"/>
                      <w:rPr>
                        <w:b/>
                        <w:sz w:val="10"/>
                      </w:rPr>
                    </w:pPr>
                    <w:r>
                      <w:rPr>
                        <w:b/>
                        <w:w w:val="105"/>
                        <w:sz w:val="10"/>
                      </w:rPr>
                      <w:t>Short term and medium term outcomes</w:t>
                    </w:r>
                  </w:p>
                  <w:p>
                    <w:pPr>
                      <w:spacing w:before="6"/>
                      <w:ind w:left="30" w:right="48" w:firstLine="0"/>
                      <w:jc w:val="center"/>
                      <w:rPr>
                        <w:i/>
                        <w:sz w:val="10"/>
                      </w:rPr>
                    </w:pPr>
                    <w:r>
                      <w:rPr>
                        <w:i/>
                        <w:w w:val="105"/>
                        <w:sz w:val="10"/>
                      </w:rPr>
                      <w:t>(Outcomes achieved through implementation of the Breaking Cycles and Hitting Targets action plans)</w:t>
                    </w:r>
                  </w:p>
                </w:txbxContent>
              </v:textbox>
              <w10:wrap type="none"/>
            </v:shape>
            <v:shape style="position:absolute;left:13704;top:1209;width:471;height:258" type="#_x0000_t202" filled="false" stroked="false">
              <v:textbox inset="0,0,0,0">
                <w:txbxContent>
                  <w:p>
                    <w:pPr>
                      <w:spacing w:before="7"/>
                      <w:ind w:left="0" w:right="0" w:firstLine="0"/>
                      <w:jc w:val="left"/>
                      <w:rPr>
                        <w:b/>
                        <w:sz w:val="10"/>
                      </w:rPr>
                    </w:pPr>
                    <w:r>
                      <w:rPr>
                        <w:b/>
                        <w:w w:val="105"/>
                        <w:sz w:val="10"/>
                      </w:rPr>
                      <w:t>Long te</w:t>
                    </w:r>
                  </w:p>
                  <w:p>
                    <w:pPr>
                      <w:spacing w:before="6"/>
                      <w:ind w:left="83" w:right="0" w:firstLine="0"/>
                      <w:jc w:val="left"/>
                      <w:rPr>
                        <w:i/>
                        <w:sz w:val="10"/>
                      </w:rPr>
                    </w:pPr>
                    <w:r>
                      <w:rPr>
                        <w:i/>
                        <w:w w:val="105"/>
                        <w:sz w:val="10"/>
                      </w:rPr>
                      <w:t>Ac</w:t>
                    </w:r>
                  </w:p>
                </w:txbxContent>
              </v:textbox>
              <w10:wrap type="none"/>
            </v:shape>
            <v:shape style="position:absolute;left:4882;top:1701;width:7250;height:4294" type="#_x0000_t202" filled="false" stroked="false">
              <v:textbox inset="0,0,0,0">
                <w:txbxContent>
                  <w:p>
                    <w:pPr>
                      <w:spacing w:before="7"/>
                      <w:ind w:left="149" w:right="0" w:firstLine="0"/>
                      <w:jc w:val="left"/>
                      <w:rPr>
                        <w:b/>
                        <w:sz w:val="10"/>
                      </w:rPr>
                    </w:pPr>
                    <w:r>
                      <w:rPr>
                        <w:b/>
                        <w:color w:val="FFFFFF"/>
                        <w:w w:val="105"/>
                        <w:sz w:val="10"/>
                      </w:rPr>
                      <w:t>Improved life outcomes for Aboriginal and Torres Strait Islander children</w:t>
                    </w:r>
                  </w:p>
                  <w:p>
                    <w:pPr>
                      <w:spacing w:line="240" w:lineRule="auto" w:before="3"/>
                      <w:rPr>
                        <w:b/>
                        <w:sz w:val="14"/>
                      </w:rPr>
                    </w:pPr>
                  </w:p>
                  <w:p>
                    <w:pPr>
                      <w:numPr>
                        <w:ilvl w:val="0"/>
                        <w:numId w:val="13"/>
                      </w:numPr>
                      <w:tabs>
                        <w:tab w:pos="170" w:val="left" w:leader="none"/>
                      </w:tabs>
                      <w:spacing w:before="0"/>
                      <w:ind w:left="169" w:right="0" w:hanging="170"/>
                      <w:jc w:val="left"/>
                      <w:rPr>
                        <w:sz w:val="9"/>
                      </w:rPr>
                    </w:pPr>
                    <w:r>
                      <w:rPr>
                        <w:w w:val="105"/>
                        <w:sz w:val="9"/>
                      </w:rPr>
                      <w:t>The</w:t>
                    </w:r>
                    <w:r>
                      <w:rPr>
                        <w:spacing w:val="-8"/>
                        <w:w w:val="105"/>
                        <w:sz w:val="9"/>
                      </w:rPr>
                      <w:t> </w:t>
                    </w:r>
                    <w:r>
                      <w:rPr>
                        <w:w w:val="105"/>
                        <w:sz w:val="9"/>
                      </w:rPr>
                      <w:t>needs</w:t>
                    </w:r>
                    <w:r>
                      <w:rPr>
                        <w:spacing w:val="-7"/>
                        <w:w w:val="105"/>
                        <w:sz w:val="9"/>
                      </w:rPr>
                      <w:t> </w:t>
                    </w:r>
                    <w:r>
                      <w:rPr>
                        <w:w w:val="105"/>
                        <w:sz w:val="9"/>
                      </w:rPr>
                      <w:t>of</w:t>
                    </w:r>
                    <w:r>
                      <w:rPr>
                        <w:spacing w:val="-6"/>
                        <w:w w:val="105"/>
                        <w:sz w:val="9"/>
                      </w:rPr>
                      <w:t> </w:t>
                    </w:r>
                    <w:r>
                      <w:rPr>
                        <w:w w:val="105"/>
                        <w:sz w:val="9"/>
                      </w:rPr>
                      <w:t>Aboriginal</w:t>
                    </w:r>
                    <w:r>
                      <w:rPr>
                        <w:spacing w:val="-4"/>
                        <w:w w:val="105"/>
                        <w:sz w:val="9"/>
                      </w:rPr>
                      <w:t> </w:t>
                    </w:r>
                    <w:r>
                      <w:rPr>
                        <w:w w:val="105"/>
                        <w:sz w:val="9"/>
                      </w:rPr>
                      <w:t>and</w:t>
                    </w:r>
                    <w:r>
                      <w:rPr>
                        <w:spacing w:val="-4"/>
                        <w:w w:val="105"/>
                        <w:sz w:val="9"/>
                      </w:rPr>
                      <w:t> </w:t>
                    </w:r>
                    <w:r>
                      <w:rPr>
                        <w:w w:val="105"/>
                        <w:sz w:val="9"/>
                      </w:rPr>
                      <w:t>Torres</w:t>
                    </w:r>
                    <w:r>
                      <w:rPr>
                        <w:spacing w:val="-7"/>
                        <w:w w:val="105"/>
                        <w:sz w:val="9"/>
                      </w:rPr>
                      <w:t> </w:t>
                    </w:r>
                    <w:r>
                      <w:rPr>
                        <w:w w:val="105"/>
                        <w:sz w:val="9"/>
                      </w:rPr>
                      <w:t>Strait</w:t>
                    </w:r>
                    <w:r>
                      <w:rPr>
                        <w:spacing w:val="-5"/>
                        <w:w w:val="105"/>
                        <w:sz w:val="9"/>
                      </w:rPr>
                      <w:t> </w:t>
                    </w:r>
                    <w:r>
                      <w:rPr>
                        <w:w w:val="105"/>
                        <w:sz w:val="9"/>
                      </w:rPr>
                      <w:t>Islander</w:t>
                    </w:r>
                    <w:r>
                      <w:rPr>
                        <w:spacing w:val="-3"/>
                        <w:w w:val="105"/>
                        <w:sz w:val="9"/>
                      </w:rPr>
                      <w:t> </w:t>
                    </w:r>
                    <w:r>
                      <w:rPr>
                        <w:w w:val="105"/>
                        <w:sz w:val="9"/>
                      </w:rPr>
                      <w:t>women</w:t>
                    </w:r>
                    <w:r>
                      <w:rPr>
                        <w:spacing w:val="-5"/>
                        <w:w w:val="105"/>
                        <w:sz w:val="9"/>
                      </w:rPr>
                      <w:t> </w:t>
                    </w:r>
                    <w:r>
                      <w:rPr>
                        <w:w w:val="105"/>
                        <w:sz w:val="9"/>
                      </w:rPr>
                      <w:t>are</w:t>
                    </w:r>
                    <w:r>
                      <w:rPr>
                        <w:spacing w:val="-7"/>
                        <w:w w:val="105"/>
                        <w:sz w:val="9"/>
                      </w:rPr>
                      <w:t> </w:t>
                    </w:r>
                    <w:r>
                      <w:rPr>
                        <w:w w:val="105"/>
                        <w:sz w:val="9"/>
                      </w:rPr>
                      <w:t>met</w:t>
                    </w:r>
                    <w:r>
                      <w:rPr>
                        <w:spacing w:val="-6"/>
                        <w:w w:val="105"/>
                        <w:sz w:val="9"/>
                      </w:rPr>
                      <w:t> </w:t>
                    </w:r>
                    <w:r>
                      <w:rPr>
                        <w:w w:val="105"/>
                        <w:sz w:val="9"/>
                      </w:rPr>
                      <w:t>before</w:t>
                    </w:r>
                    <w:r>
                      <w:rPr>
                        <w:spacing w:val="-5"/>
                        <w:w w:val="105"/>
                        <w:sz w:val="9"/>
                      </w:rPr>
                      <w:t> </w:t>
                    </w:r>
                    <w:r>
                      <w:rPr>
                        <w:w w:val="105"/>
                        <w:sz w:val="9"/>
                      </w:rPr>
                      <w:t>and</w:t>
                    </w:r>
                    <w:r>
                      <w:rPr>
                        <w:spacing w:val="-7"/>
                        <w:w w:val="105"/>
                        <w:sz w:val="9"/>
                      </w:rPr>
                      <w:t> </w:t>
                    </w:r>
                    <w:r>
                      <w:rPr>
                        <w:w w:val="105"/>
                        <w:sz w:val="9"/>
                      </w:rPr>
                      <w:t>during</w:t>
                    </w:r>
                    <w:r>
                      <w:rPr>
                        <w:spacing w:val="-4"/>
                        <w:w w:val="105"/>
                        <w:sz w:val="9"/>
                      </w:rPr>
                      <w:t> </w:t>
                    </w:r>
                    <w:r>
                      <w:rPr>
                        <w:w w:val="105"/>
                        <w:sz w:val="9"/>
                      </w:rPr>
                      <w:t>pregnancy</w:t>
                    </w:r>
                    <w:r>
                      <w:rPr>
                        <w:spacing w:val="-6"/>
                        <w:w w:val="105"/>
                        <w:sz w:val="9"/>
                      </w:rPr>
                      <w:t> </w:t>
                    </w:r>
                    <w:r>
                      <w:rPr>
                        <w:w w:val="105"/>
                        <w:sz w:val="9"/>
                      </w:rPr>
                      <w:t>and</w:t>
                    </w:r>
                    <w:r>
                      <w:rPr>
                        <w:spacing w:val="-7"/>
                        <w:w w:val="105"/>
                        <w:sz w:val="9"/>
                      </w:rPr>
                      <w:t> </w:t>
                    </w:r>
                    <w:r>
                      <w:rPr>
                        <w:w w:val="105"/>
                        <w:sz w:val="9"/>
                      </w:rPr>
                      <w:t>parenting,</w:t>
                    </w:r>
                    <w:r>
                      <w:rPr>
                        <w:spacing w:val="-6"/>
                        <w:w w:val="105"/>
                        <w:sz w:val="9"/>
                      </w:rPr>
                      <w:t> </w:t>
                    </w:r>
                    <w:r>
                      <w:rPr>
                        <w:w w:val="105"/>
                        <w:sz w:val="9"/>
                      </w:rPr>
                      <w:t>especially</w:t>
                    </w:r>
                    <w:r>
                      <w:rPr>
                        <w:spacing w:val="-4"/>
                        <w:w w:val="105"/>
                        <w:sz w:val="9"/>
                      </w:rPr>
                      <w:t> </w:t>
                    </w:r>
                    <w:r>
                      <w:rPr>
                        <w:w w:val="105"/>
                        <w:sz w:val="9"/>
                      </w:rPr>
                      <w:t>during</w:t>
                    </w:r>
                    <w:r>
                      <w:rPr>
                        <w:spacing w:val="-1"/>
                        <w:w w:val="105"/>
                        <w:sz w:val="9"/>
                      </w:rPr>
                      <w:t> </w:t>
                    </w:r>
                    <w:r>
                      <w:rPr>
                        <w:w w:val="105"/>
                        <w:sz w:val="9"/>
                      </w:rPr>
                      <w:t>the</w:t>
                    </w:r>
                    <w:r>
                      <w:rPr>
                        <w:spacing w:val="-7"/>
                        <w:w w:val="105"/>
                        <w:sz w:val="9"/>
                      </w:rPr>
                      <w:t> </w:t>
                    </w:r>
                    <w:r>
                      <w:rPr>
                        <w:w w:val="105"/>
                        <w:sz w:val="9"/>
                      </w:rPr>
                      <w:t>first</w:t>
                    </w:r>
                    <w:r>
                      <w:rPr>
                        <w:spacing w:val="-5"/>
                        <w:w w:val="105"/>
                        <w:sz w:val="9"/>
                      </w:rPr>
                      <w:t> </w:t>
                    </w:r>
                    <w:r>
                      <w:rPr>
                        <w:w w:val="105"/>
                        <w:sz w:val="9"/>
                      </w:rPr>
                      <w:t>1,000</w:t>
                    </w:r>
                    <w:r>
                      <w:rPr>
                        <w:spacing w:val="-3"/>
                        <w:w w:val="105"/>
                        <w:sz w:val="9"/>
                      </w:rPr>
                      <w:t> </w:t>
                    </w:r>
                    <w:r>
                      <w:rPr>
                        <w:w w:val="105"/>
                        <w:sz w:val="9"/>
                      </w:rPr>
                      <w:t>days</w:t>
                    </w:r>
                  </w:p>
                  <w:p>
                    <w:pPr>
                      <w:numPr>
                        <w:ilvl w:val="0"/>
                        <w:numId w:val="13"/>
                      </w:numPr>
                      <w:tabs>
                        <w:tab w:pos="170" w:val="left" w:leader="none"/>
                      </w:tabs>
                      <w:spacing w:before="51"/>
                      <w:ind w:left="169" w:right="0" w:hanging="170"/>
                      <w:jc w:val="left"/>
                      <w:rPr>
                        <w:sz w:val="9"/>
                      </w:rPr>
                    </w:pPr>
                    <w:r>
                      <w:rPr>
                        <w:w w:val="105"/>
                        <w:sz w:val="9"/>
                      </w:rPr>
                      <w:t>Aboriginal and Torres Strait Islander children are born healthy and</w:t>
                    </w:r>
                    <w:r>
                      <w:rPr>
                        <w:spacing w:val="-2"/>
                        <w:w w:val="105"/>
                        <w:sz w:val="9"/>
                      </w:rPr>
                      <w:t> </w:t>
                    </w:r>
                    <w:r>
                      <w:rPr>
                        <w:w w:val="105"/>
                        <w:sz w:val="9"/>
                      </w:rPr>
                      <w:t>strong*</w:t>
                    </w:r>
                  </w:p>
                  <w:p>
                    <w:pPr>
                      <w:numPr>
                        <w:ilvl w:val="0"/>
                        <w:numId w:val="13"/>
                      </w:numPr>
                      <w:tabs>
                        <w:tab w:pos="170" w:val="left" w:leader="none"/>
                      </w:tabs>
                      <w:spacing w:before="50"/>
                      <w:ind w:left="169" w:right="0" w:hanging="170"/>
                      <w:jc w:val="left"/>
                      <w:rPr>
                        <w:sz w:val="9"/>
                      </w:rPr>
                    </w:pPr>
                    <w:r>
                      <w:rPr>
                        <w:w w:val="105"/>
                        <w:sz w:val="9"/>
                      </w:rPr>
                      <w:t>Aboriginal</w:t>
                    </w:r>
                    <w:r>
                      <w:rPr>
                        <w:spacing w:val="-5"/>
                        <w:w w:val="105"/>
                        <w:sz w:val="9"/>
                      </w:rPr>
                      <w:t> </w:t>
                    </w:r>
                    <w:r>
                      <w:rPr>
                        <w:w w:val="105"/>
                        <w:sz w:val="9"/>
                      </w:rPr>
                      <w:t>and</w:t>
                    </w:r>
                    <w:r>
                      <w:rPr>
                        <w:spacing w:val="-5"/>
                        <w:w w:val="105"/>
                        <w:sz w:val="9"/>
                      </w:rPr>
                      <w:t> </w:t>
                    </w:r>
                    <w:r>
                      <w:rPr>
                        <w:w w:val="105"/>
                        <w:sz w:val="9"/>
                      </w:rPr>
                      <w:t>Torres</w:t>
                    </w:r>
                    <w:r>
                      <w:rPr>
                        <w:spacing w:val="-7"/>
                        <w:w w:val="105"/>
                        <w:sz w:val="9"/>
                      </w:rPr>
                      <w:t> </w:t>
                    </w:r>
                    <w:r>
                      <w:rPr>
                        <w:w w:val="105"/>
                        <w:sz w:val="9"/>
                      </w:rPr>
                      <w:t>Strait</w:t>
                    </w:r>
                    <w:r>
                      <w:rPr>
                        <w:spacing w:val="-6"/>
                        <w:w w:val="105"/>
                        <w:sz w:val="9"/>
                      </w:rPr>
                      <w:t> </w:t>
                    </w:r>
                    <w:r>
                      <w:rPr>
                        <w:w w:val="105"/>
                        <w:sz w:val="9"/>
                      </w:rPr>
                      <w:t>Islander</w:t>
                    </w:r>
                    <w:r>
                      <w:rPr>
                        <w:spacing w:val="-3"/>
                        <w:w w:val="105"/>
                        <w:sz w:val="9"/>
                      </w:rPr>
                      <w:t> </w:t>
                    </w:r>
                    <w:r>
                      <w:rPr>
                        <w:w w:val="105"/>
                        <w:sz w:val="9"/>
                      </w:rPr>
                      <w:t>children</w:t>
                    </w:r>
                    <w:r>
                      <w:rPr>
                        <w:spacing w:val="-6"/>
                        <w:w w:val="105"/>
                        <w:sz w:val="9"/>
                      </w:rPr>
                      <w:t> </w:t>
                    </w:r>
                    <w:r>
                      <w:rPr>
                        <w:w w:val="105"/>
                        <w:sz w:val="9"/>
                      </w:rPr>
                      <w:t>have</w:t>
                    </w:r>
                    <w:r>
                      <w:rPr>
                        <w:spacing w:val="-8"/>
                        <w:w w:val="105"/>
                        <w:sz w:val="9"/>
                      </w:rPr>
                      <w:t> </w:t>
                    </w:r>
                    <w:r>
                      <w:rPr>
                        <w:w w:val="105"/>
                        <w:sz w:val="9"/>
                      </w:rPr>
                      <w:t>access</w:t>
                    </w:r>
                    <w:r>
                      <w:rPr>
                        <w:spacing w:val="-5"/>
                        <w:w w:val="105"/>
                        <w:sz w:val="9"/>
                      </w:rPr>
                      <w:t> </w:t>
                    </w:r>
                    <w:r>
                      <w:rPr>
                        <w:w w:val="105"/>
                        <w:sz w:val="9"/>
                      </w:rPr>
                      <w:t>to</w:t>
                    </w:r>
                    <w:r>
                      <w:rPr>
                        <w:spacing w:val="-7"/>
                        <w:w w:val="105"/>
                        <w:sz w:val="9"/>
                      </w:rPr>
                      <w:t> </w:t>
                    </w:r>
                    <w:r>
                      <w:rPr>
                        <w:w w:val="105"/>
                        <w:sz w:val="9"/>
                      </w:rPr>
                      <w:t>affordable</w:t>
                    </w:r>
                    <w:r>
                      <w:rPr>
                        <w:spacing w:val="-1"/>
                        <w:w w:val="105"/>
                        <w:sz w:val="9"/>
                      </w:rPr>
                      <w:t> </w:t>
                    </w:r>
                    <w:r>
                      <w:rPr>
                        <w:w w:val="105"/>
                        <w:sz w:val="9"/>
                      </w:rPr>
                      <w:t>and</w:t>
                    </w:r>
                    <w:r>
                      <w:rPr>
                        <w:spacing w:val="-6"/>
                        <w:w w:val="105"/>
                        <w:sz w:val="9"/>
                      </w:rPr>
                      <w:t> </w:t>
                    </w:r>
                    <w:r>
                      <w:rPr>
                        <w:w w:val="105"/>
                        <w:sz w:val="9"/>
                      </w:rPr>
                      <w:t>appropriate</w:t>
                    </w:r>
                    <w:r>
                      <w:rPr>
                        <w:spacing w:val="-3"/>
                        <w:w w:val="105"/>
                        <w:sz w:val="9"/>
                      </w:rPr>
                      <w:t> </w:t>
                    </w:r>
                    <w:r>
                      <w:rPr>
                        <w:w w:val="105"/>
                        <w:sz w:val="9"/>
                      </w:rPr>
                      <w:t>medical</w:t>
                    </w:r>
                    <w:r>
                      <w:rPr>
                        <w:spacing w:val="-4"/>
                        <w:w w:val="105"/>
                        <w:sz w:val="9"/>
                      </w:rPr>
                      <w:t> </w:t>
                    </w:r>
                    <w:r>
                      <w:rPr>
                        <w:w w:val="105"/>
                        <w:sz w:val="9"/>
                      </w:rPr>
                      <w:t>care</w:t>
                    </w:r>
                    <w:r>
                      <w:rPr>
                        <w:spacing w:val="-6"/>
                        <w:w w:val="105"/>
                        <w:sz w:val="9"/>
                      </w:rPr>
                      <w:t> </w:t>
                    </w:r>
                    <w:r>
                      <w:rPr>
                        <w:w w:val="105"/>
                        <w:sz w:val="9"/>
                      </w:rPr>
                      <w:t>as</w:t>
                    </w:r>
                    <w:r>
                      <w:rPr>
                        <w:spacing w:val="-7"/>
                        <w:w w:val="105"/>
                        <w:sz w:val="9"/>
                      </w:rPr>
                      <w:t> </w:t>
                    </w:r>
                    <w:r>
                      <w:rPr>
                        <w:w w:val="105"/>
                        <w:sz w:val="9"/>
                      </w:rPr>
                      <w:t>well</w:t>
                    </w:r>
                    <w:r>
                      <w:rPr>
                        <w:spacing w:val="-6"/>
                        <w:w w:val="105"/>
                        <w:sz w:val="9"/>
                      </w:rPr>
                      <w:t> </w:t>
                    </w:r>
                    <w:r>
                      <w:rPr>
                        <w:w w:val="105"/>
                        <w:sz w:val="9"/>
                      </w:rPr>
                      <w:t>as</w:t>
                    </w:r>
                    <w:r>
                      <w:rPr>
                        <w:spacing w:val="-5"/>
                        <w:w w:val="105"/>
                        <w:sz w:val="9"/>
                      </w:rPr>
                      <w:t> </w:t>
                    </w:r>
                    <w:r>
                      <w:rPr>
                        <w:w w:val="105"/>
                        <w:sz w:val="9"/>
                      </w:rPr>
                      <w:t>a</w:t>
                    </w:r>
                    <w:r>
                      <w:rPr>
                        <w:spacing w:val="-6"/>
                        <w:w w:val="105"/>
                        <w:sz w:val="9"/>
                      </w:rPr>
                      <w:t> </w:t>
                    </w:r>
                    <w:r>
                      <w:rPr>
                        <w:w w:val="105"/>
                        <w:sz w:val="9"/>
                      </w:rPr>
                      <w:t>healthy</w:t>
                    </w:r>
                    <w:r>
                      <w:rPr>
                        <w:spacing w:val="-7"/>
                        <w:w w:val="105"/>
                        <w:sz w:val="9"/>
                      </w:rPr>
                      <w:t> </w:t>
                    </w:r>
                    <w:r>
                      <w:rPr>
                        <w:w w:val="105"/>
                        <w:sz w:val="9"/>
                      </w:rPr>
                      <w:t>lifestyle</w:t>
                    </w:r>
                    <w:r>
                      <w:rPr>
                        <w:spacing w:val="-4"/>
                        <w:w w:val="105"/>
                        <w:sz w:val="9"/>
                      </w:rPr>
                      <w:t> </w:t>
                    </w:r>
                    <w:r>
                      <w:rPr>
                        <w:w w:val="105"/>
                        <w:sz w:val="9"/>
                      </w:rPr>
                      <w:t>from</w:t>
                    </w:r>
                    <w:r>
                      <w:rPr>
                        <w:spacing w:val="-5"/>
                        <w:w w:val="105"/>
                        <w:sz w:val="9"/>
                      </w:rPr>
                      <w:t> </w:t>
                    </w:r>
                    <w:r>
                      <w:rPr>
                        <w:w w:val="105"/>
                        <w:sz w:val="9"/>
                      </w:rPr>
                      <w:t>birth</w:t>
                    </w:r>
                    <w:r>
                      <w:rPr>
                        <w:spacing w:val="-6"/>
                        <w:w w:val="105"/>
                        <w:sz w:val="9"/>
                      </w:rPr>
                      <w:t> </w:t>
                    </w:r>
                    <w:r>
                      <w:rPr>
                        <w:w w:val="105"/>
                        <w:sz w:val="9"/>
                      </w:rPr>
                      <w:t>to</w:t>
                    </w:r>
                    <w:r>
                      <w:rPr>
                        <w:spacing w:val="-6"/>
                        <w:w w:val="105"/>
                        <w:sz w:val="9"/>
                      </w:rPr>
                      <w:t> </w:t>
                    </w:r>
                    <w:r>
                      <w:rPr>
                        <w:w w:val="105"/>
                        <w:sz w:val="9"/>
                      </w:rPr>
                      <w:t>adulth</w:t>
                    </w:r>
                  </w:p>
                  <w:p>
                    <w:pPr>
                      <w:numPr>
                        <w:ilvl w:val="0"/>
                        <w:numId w:val="13"/>
                      </w:numPr>
                      <w:tabs>
                        <w:tab w:pos="170" w:val="left" w:leader="none"/>
                      </w:tabs>
                      <w:spacing w:before="50"/>
                      <w:ind w:left="169" w:right="0" w:hanging="170"/>
                      <w:jc w:val="left"/>
                      <w:rPr>
                        <w:sz w:val="9"/>
                      </w:rPr>
                    </w:pPr>
                    <w:r>
                      <w:rPr>
                        <w:w w:val="105"/>
                        <w:sz w:val="9"/>
                      </w:rPr>
                      <w:t>Aboriginal</w:t>
                    </w:r>
                    <w:r>
                      <w:rPr>
                        <w:spacing w:val="-3"/>
                        <w:w w:val="105"/>
                        <w:sz w:val="9"/>
                      </w:rPr>
                      <w:t> </w:t>
                    </w:r>
                    <w:r>
                      <w:rPr>
                        <w:w w:val="105"/>
                        <w:sz w:val="9"/>
                      </w:rPr>
                      <w:t>and</w:t>
                    </w:r>
                    <w:r>
                      <w:rPr>
                        <w:spacing w:val="-4"/>
                        <w:w w:val="105"/>
                        <w:sz w:val="9"/>
                      </w:rPr>
                      <w:t> </w:t>
                    </w:r>
                    <w:r>
                      <w:rPr>
                        <w:w w:val="105"/>
                        <w:sz w:val="9"/>
                      </w:rPr>
                      <w:t>Torres</w:t>
                    </w:r>
                    <w:r>
                      <w:rPr>
                        <w:spacing w:val="-6"/>
                        <w:w w:val="105"/>
                        <w:sz w:val="9"/>
                      </w:rPr>
                      <w:t> </w:t>
                    </w:r>
                    <w:r>
                      <w:rPr>
                        <w:w w:val="105"/>
                        <w:sz w:val="9"/>
                      </w:rPr>
                      <w:t>Strait</w:t>
                    </w:r>
                    <w:r>
                      <w:rPr>
                        <w:spacing w:val="-5"/>
                        <w:w w:val="105"/>
                        <w:sz w:val="9"/>
                      </w:rPr>
                      <w:t> </w:t>
                    </w:r>
                    <w:r>
                      <w:rPr>
                        <w:w w:val="105"/>
                        <w:sz w:val="9"/>
                      </w:rPr>
                      <w:t>Islander</w:t>
                    </w:r>
                    <w:r>
                      <w:rPr>
                        <w:spacing w:val="-2"/>
                        <w:w w:val="105"/>
                        <w:sz w:val="9"/>
                      </w:rPr>
                      <w:t> </w:t>
                    </w:r>
                    <w:r>
                      <w:rPr>
                        <w:w w:val="105"/>
                        <w:sz w:val="9"/>
                      </w:rPr>
                      <w:t>children</w:t>
                    </w:r>
                    <w:r>
                      <w:rPr>
                        <w:spacing w:val="-4"/>
                        <w:w w:val="105"/>
                        <w:sz w:val="9"/>
                      </w:rPr>
                      <w:t> </w:t>
                    </w:r>
                    <w:r>
                      <w:rPr>
                        <w:w w:val="105"/>
                        <w:sz w:val="9"/>
                      </w:rPr>
                      <w:t>are</w:t>
                    </w:r>
                    <w:r>
                      <w:rPr>
                        <w:spacing w:val="-7"/>
                        <w:w w:val="105"/>
                        <w:sz w:val="9"/>
                      </w:rPr>
                      <w:t> </w:t>
                    </w:r>
                    <w:r>
                      <w:rPr>
                        <w:w w:val="105"/>
                        <w:sz w:val="9"/>
                      </w:rPr>
                      <w:t>engaged</w:t>
                    </w:r>
                    <w:r>
                      <w:rPr>
                        <w:spacing w:val="-5"/>
                        <w:w w:val="105"/>
                        <w:sz w:val="9"/>
                      </w:rPr>
                      <w:t> </w:t>
                    </w:r>
                    <w:r>
                      <w:rPr>
                        <w:w w:val="105"/>
                        <w:sz w:val="9"/>
                      </w:rPr>
                      <w:t>in</w:t>
                    </w:r>
                    <w:r>
                      <w:rPr>
                        <w:spacing w:val="-5"/>
                        <w:w w:val="105"/>
                        <w:sz w:val="9"/>
                      </w:rPr>
                      <w:t> </w:t>
                    </w:r>
                    <w:r>
                      <w:rPr>
                        <w:w w:val="105"/>
                        <w:sz w:val="9"/>
                      </w:rPr>
                      <w:t>high</w:t>
                    </w:r>
                    <w:r>
                      <w:rPr>
                        <w:spacing w:val="-5"/>
                        <w:w w:val="105"/>
                        <w:sz w:val="9"/>
                      </w:rPr>
                      <w:t> </w:t>
                    </w:r>
                    <w:r>
                      <w:rPr>
                        <w:w w:val="105"/>
                        <w:sz w:val="9"/>
                      </w:rPr>
                      <w:t>quality,</w:t>
                    </w:r>
                    <w:r>
                      <w:rPr>
                        <w:spacing w:val="-4"/>
                        <w:w w:val="105"/>
                        <w:sz w:val="9"/>
                      </w:rPr>
                      <w:t> </w:t>
                    </w:r>
                    <w:r>
                      <w:rPr>
                        <w:w w:val="105"/>
                        <w:sz w:val="9"/>
                      </w:rPr>
                      <w:t>culturally</w:t>
                    </w:r>
                    <w:r>
                      <w:rPr>
                        <w:spacing w:val="-3"/>
                        <w:w w:val="105"/>
                        <w:sz w:val="9"/>
                      </w:rPr>
                      <w:t> </w:t>
                    </w:r>
                    <w:r>
                      <w:rPr>
                        <w:w w:val="105"/>
                        <w:sz w:val="9"/>
                      </w:rPr>
                      <w:t>appropriate</w:t>
                    </w:r>
                    <w:r>
                      <w:rPr>
                        <w:spacing w:val="-2"/>
                        <w:w w:val="105"/>
                        <w:sz w:val="9"/>
                      </w:rPr>
                      <w:t> </w:t>
                    </w:r>
                    <w:r>
                      <w:rPr>
                        <w:w w:val="105"/>
                        <w:sz w:val="9"/>
                      </w:rPr>
                      <w:t>early</w:t>
                    </w:r>
                    <w:r>
                      <w:rPr>
                        <w:spacing w:val="-5"/>
                        <w:w w:val="105"/>
                        <w:sz w:val="9"/>
                      </w:rPr>
                      <w:t> </w:t>
                    </w:r>
                    <w:r>
                      <w:rPr>
                        <w:w w:val="105"/>
                        <w:sz w:val="9"/>
                      </w:rPr>
                      <w:t>childhood</w:t>
                    </w:r>
                    <w:r>
                      <w:rPr>
                        <w:spacing w:val="-3"/>
                        <w:w w:val="105"/>
                        <w:sz w:val="9"/>
                      </w:rPr>
                      <w:t> </w:t>
                    </w:r>
                    <w:r>
                      <w:rPr>
                        <w:w w:val="105"/>
                        <w:sz w:val="9"/>
                      </w:rPr>
                      <w:t>education</w:t>
                    </w:r>
                    <w:r>
                      <w:rPr>
                        <w:spacing w:val="-1"/>
                        <w:w w:val="105"/>
                        <w:sz w:val="9"/>
                      </w:rPr>
                      <w:t> </w:t>
                    </w:r>
                    <w:r>
                      <w:rPr>
                        <w:w w:val="105"/>
                        <w:sz w:val="9"/>
                      </w:rPr>
                      <w:t>in</w:t>
                    </w:r>
                    <w:r>
                      <w:rPr>
                        <w:spacing w:val="-5"/>
                        <w:w w:val="105"/>
                        <w:sz w:val="9"/>
                      </w:rPr>
                      <w:t> </w:t>
                    </w:r>
                    <w:r>
                      <w:rPr>
                        <w:w w:val="105"/>
                        <w:sz w:val="9"/>
                      </w:rPr>
                      <w:t>their</w:t>
                    </w:r>
                    <w:r>
                      <w:rPr>
                        <w:spacing w:val="-6"/>
                        <w:w w:val="105"/>
                        <w:sz w:val="9"/>
                      </w:rPr>
                      <w:t> </w:t>
                    </w:r>
                    <w:r>
                      <w:rPr>
                        <w:w w:val="105"/>
                        <w:sz w:val="9"/>
                      </w:rPr>
                      <w:t>early</w:t>
                    </w:r>
                    <w:r>
                      <w:rPr>
                        <w:spacing w:val="-5"/>
                        <w:w w:val="105"/>
                        <w:sz w:val="9"/>
                      </w:rPr>
                      <w:t> </w:t>
                    </w:r>
                    <w:r>
                      <w:rPr>
                        <w:w w:val="105"/>
                        <w:sz w:val="9"/>
                      </w:rPr>
                      <w:t>years*</w:t>
                    </w:r>
                  </w:p>
                  <w:p>
                    <w:pPr>
                      <w:numPr>
                        <w:ilvl w:val="0"/>
                        <w:numId w:val="13"/>
                      </w:numPr>
                      <w:tabs>
                        <w:tab w:pos="170" w:val="left" w:leader="none"/>
                      </w:tabs>
                      <w:spacing w:before="51"/>
                      <w:ind w:left="169" w:right="0" w:hanging="170"/>
                      <w:jc w:val="left"/>
                      <w:rPr>
                        <w:sz w:val="9"/>
                      </w:rPr>
                    </w:pPr>
                    <w:r>
                      <w:rPr>
                        <w:w w:val="105"/>
                        <w:sz w:val="9"/>
                      </w:rPr>
                      <w:t>Aboriginal and Torres Strait Islander children thrive in their early</w:t>
                    </w:r>
                    <w:r>
                      <w:rPr>
                        <w:spacing w:val="-2"/>
                        <w:w w:val="105"/>
                        <w:sz w:val="9"/>
                      </w:rPr>
                      <w:t> </w:t>
                    </w:r>
                    <w:r>
                      <w:rPr>
                        <w:w w:val="105"/>
                        <w:sz w:val="9"/>
                      </w:rPr>
                      <w:t>years*</w:t>
                    </w:r>
                  </w:p>
                  <w:p>
                    <w:pPr>
                      <w:numPr>
                        <w:ilvl w:val="0"/>
                        <w:numId w:val="13"/>
                      </w:numPr>
                      <w:tabs>
                        <w:tab w:pos="170" w:val="left" w:leader="none"/>
                      </w:tabs>
                      <w:spacing w:before="51"/>
                      <w:ind w:left="169" w:right="0" w:hanging="170"/>
                      <w:jc w:val="left"/>
                      <w:rPr>
                        <w:sz w:val="9"/>
                      </w:rPr>
                    </w:pPr>
                    <w:r>
                      <w:rPr>
                        <w:w w:val="105"/>
                        <w:sz w:val="9"/>
                      </w:rPr>
                      <w:t>Aboriginal</w:t>
                    </w:r>
                    <w:r>
                      <w:rPr>
                        <w:spacing w:val="-1"/>
                        <w:w w:val="105"/>
                        <w:sz w:val="9"/>
                      </w:rPr>
                      <w:t> </w:t>
                    </w:r>
                    <w:r>
                      <w:rPr>
                        <w:w w:val="105"/>
                        <w:sz w:val="9"/>
                      </w:rPr>
                      <w:t>and</w:t>
                    </w:r>
                    <w:r>
                      <w:rPr>
                        <w:spacing w:val="-1"/>
                        <w:w w:val="105"/>
                        <w:sz w:val="9"/>
                      </w:rPr>
                      <w:t> </w:t>
                    </w:r>
                    <w:r>
                      <w:rPr>
                        <w:w w:val="105"/>
                        <w:sz w:val="9"/>
                      </w:rPr>
                      <w:t>Torres</w:t>
                    </w:r>
                    <w:r>
                      <w:rPr>
                        <w:spacing w:val="-3"/>
                        <w:w w:val="105"/>
                        <w:sz w:val="9"/>
                      </w:rPr>
                      <w:t> </w:t>
                    </w:r>
                    <w:r>
                      <w:rPr>
                        <w:w w:val="105"/>
                        <w:sz w:val="9"/>
                      </w:rPr>
                      <w:t>Strait</w:t>
                    </w:r>
                    <w:r>
                      <w:rPr>
                        <w:spacing w:val="-2"/>
                        <w:w w:val="105"/>
                        <w:sz w:val="9"/>
                      </w:rPr>
                      <w:t> </w:t>
                    </w:r>
                    <w:r>
                      <w:rPr>
                        <w:w w:val="105"/>
                        <w:sz w:val="9"/>
                      </w:rPr>
                      <w:t>Islander children</w:t>
                    </w:r>
                    <w:r>
                      <w:rPr>
                        <w:spacing w:val="-2"/>
                        <w:w w:val="105"/>
                        <w:sz w:val="9"/>
                      </w:rPr>
                      <w:t> </w:t>
                    </w:r>
                    <w:r>
                      <w:rPr>
                        <w:w w:val="105"/>
                        <w:sz w:val="9"/>
                      </w:rPr>
                      <w:t>grow</w:t>
                    </w:r>
                    <w:r>
                      <w:rPr>
                        <w:spacing w:val="-2"/>
                        <w:w w:val="105"/>
                        <w:sz w:val="9"/>
                      </w:rPr>
                      <w:t> </w:t>
                    </w:r>
                    <w:r>
                      <w:rPr>
                        <w:w w:val="105"/>
                        <w:sz w:val="9"/>
                      </w:rPr>
                      <w:t>up</w:t>
                    </w:r>
                    <w:r>
                      <w:rPr>
                        <w:spacing w:val="-3"/>
                        <w:w w:val="105"/>
                        <w:sz w:val="9"/>
                      </w:rPr>
                      <w:t> </w:t>
                    </w:r>
                    <w:r>
                      <w:rPr>
                        <w:w w:val="105"/>
                        <w:sz w:val="9"/>
                      </w:rPr>
                      <w:t>in</w:t>
                    </w:r>
                    <w:r>
                      <w:rPr>
                        <w:spacing w:val="-2"/>
                        <w:w w:val="105"/>
                        <w:sz w:val="9"/>
                      </w:rPr>
                      <w:t> </w:t>
                    </w:r>
                    <w:r>
                      <w:rPr>
                        <w:w w:val="105"/>
                        <w:sz w:val="9"/>
                      </w:rPr>
                      <w:t>an</w:t>
                    </w:r>
                    <w:r>
                      <w:rPr>
                        <w:spacing w:val="-2"/>
                        <w:w w:val="105"/>
                        <w:sz w:val="9"/>
                      </w:rPr>
                      <w:t> </w:t>
                    </w:r>
                    <w:r>
                      <w:rPr>
                        <w:w w:val="105"/>
                        <w:sz w:val="9"/>
                      </w:rPr>
                      <w:t>environment</w:t>
                    </w:r>
                    <w:r>
                      <w:rPr>
                        <w:spacing w:val="-6"/>
                        <w:w w:val="105"/>
                        <w:sz w:val="9"/>
                      </w:rPr>
                      <w:t> </w:t>
                    </w:r>
                    <w:r>
                      <w:rPr>
                        <w:w w:val="105"/>
                        <w:sz w:val="9"/>
                      </w:rPr>
                      <w:t>that</w:t>
                    </w:r>
                    <w:r>
                      <w:rPr>
                        <w:spacing w:val="-2"/>
                        <w:w w:val="105"/>
                        <w:sz w:val="9"/>
                      </w:rPr>
                      <w:t> </w:t>
                    </w:r>
                    <w:r>
                      <w:rPr>
                        <w:w w:val="105"/>
                        <w:sz w:val="9"/>
                      </w:rPr>
                      <w:t>is</w:t>
                    </w:r>
                    <w:r>
                      <w:rPr>
                        <w:spacing w:val="-3"/>
                        <w:w w:val="105"/>
                        <w:sz w:val="9"/>
                      </w:rPr>
                      <w:t> </w:t>
                    </w:r>
                    <w:r>
                      <w:rPr>
                        <w:w w:val="105"/>
                        <w:sz w:val="9"/>
                      </w:rPr>
                      <w:t>free</w:t>
                    </w:r>
                    <w:r>
                      <w:rPr>
                        <w:spacing w:val="-2"/>
                        <w:w w:val="105"/>
                        <w:sz w:val="9"/>
                      </w:rPr>
                      <w:t> </w:t>
                    </w:r>
                    <w:r>
                      <w:rPr>
                        <w:w w:val="105"/>
                        <w:sz w:val="9"/>
                      </w:rPr>
                      <w:t>from</w:t>
                    </w:r>
                    <w:r>
                      <w:rPr>
                        <w:spacing w:val="-2"/>
                        <w:w w:val="105"/>
                        <w:sz w:val="9"/>
                      </w:rPr>
                      <w:t> </w:t>
                    </w:r>
                    <w:r>
                      <w:rPr>
                        <w:w w:val="105"/>
                        <w:sz w:val="9"/>
                      </w:rPr>
                      <w:t>poverty</w:t>
                    </w:r>
                    <w:r>
                      <w:rPr>
                        <w:spacing w:val="-2"/>
                        <w:w w:val="105"/>
                        <w:sz w:val="9"/>
                      </w:rPr>
                      <w:t> </w:t>
                    </w:r>
                    <w:r>
                      <w:rPr>
                        <w:w w:val="105"/>
                        <w:sz w:val="9"/>
                      </w:rPr>
                      <w:t>as</w:t>
                    </w:r>
                    <w:r>
                      <w:rPr>
                        <w:spacing w:val="-3"/>
                        <w:w w:val="105"/>
                        <w:sz w:val="9"/>
                      </w:rPr>
                      <w:t> </w:t>
                    </w:r>
                    <w:r>
                      <w:rPr>
                        <w:w w:val="105"/>
                        <w:sz w:val="9"/>
                      </w:rPr>
                      <w:t>their</w:t>
                    </w:r>
                    <w:r>
                      <w:rPr>
                        <w:spacing w:val="-2"/>
                        <w:w w:val="105"/>
                        <w:sz w:val="9"/>
                      </w:rPr>
                      <w:t> </w:t>
                    </w:r>
                    <w:r>
                      <w:rPr>
                        <w:w w:val="105"/>
                        <w:sz w:val="9"/>
                      </w:rPr>
                      <w:t>parents,</w:t>
                    </w:r>
                    <w:r>
                      <w:rPr>
                        <w:spacing w:val="-4"/>
                        <w:w w:val="105"/>
                        <w:sz w:val="9"/>
                      </w:rPr>
                      <w:t> </w:t>
                    </w:r>
                    <w:r>
                      <w:rPr>
                        <w:w w:val="105"/>
                        <w:sz w:val="9"/>
                      </w:rPr>
                      <w:t>carers</w:t>
                    </w:r>
                    <w:r>
                      <w:rPr>
                        <w:spacing w:val="-3"/>
                        <w:w w:val="105"/>
                        <w:sz w:val="9"/>
                      </w:rPr>
                      <w:t> </w:t>
                    </w:r>
                    <w:r>
                      <w:rPr>
                        <w:w w:val="105"/>
                        <w:sz w:val="9"/>
                      </w:rPr>
                      <w:t>and</w:t>
                    </w:r>
                    <w:r>
                      <w:rPr>
                        <w:spacing w:val="-3"/>
                        <w:w w:val="105"/>
                        <w:sz w:val="9"/>
                      </w:rPr>
                      <w:t> </w:t>
                    </w:r>
                    <w:r>
                      <w:rPr>
                        <w:w w:val="105"/>
                        <w:sz w:val="9"/>
                      </w:rPr>
                      <w:t>fam</w:t>
                    </w:r>
                  </w:p>
                  <w:p>
                    <w:pPr>
                      <w:numPr>
                        <w:ilvl w:val="0"/>
                        <w:numId w:val="13"/>
                      </w:numPr>
                      <w:tabs>
                        <w:tab w:pos="170" w:val="left" w:leader="none"/>
                      </w:tabs>
                      <w:spacing w:before="50"/>
                      <w:ind w:left="169" w:right="0" w:hanging="170"/>
                      <w:jc w:val="left"/>
                      <w:rPr>
                        <w:sz w:val="9"/>
                      </w:rPr>
                    </w:pPr>
                    <w:r>
                      <w:rPr>
                        <w:w w:val="105"/>
                        <w:sz w:val="9"/>
                      </w:rPr>
                      <w:t>Aboriginal and Torres Strait Islander children are engaged in</w:t>
                    </w:r>
                    <w:r>
                      <w:rPr>
                        <w:spacing w:val="-1"/>
                        <w:w w:val="105"/>
                        <w:sz w:val="9"/>
                      </w:rPr>
                      <w:t> </w:t>
                    </w:r>
                    <w:r>
                      <w:rPr>
                        <w:w w:val="105"/>
                        <w:sz w:val="9"/>
                      </w:rPr>
                      <w:t>education*</w:t>
                    </w:r>
                  </w:p>
                  <w:p>
                    <w:pPr>
                      <w:numPr>
                        <w:ilvl w:val="0"/>
                        <w:numId w:val="13"/>
                      </w:numPr>
                      <w:tabs>
                        <w:tab w:pos="170" w:val="left" w:leader="none"/>
                      </w:tabs>
                      <w:spacing w:before="50"/>
                      <w:ind w:left="169" w:right="0" w:hanging="170"/>
                      <w:jc w:val="left"/>
                      <w:rPr>
                        <w:sz w:val="9"/>
                      </w:rPr>
                    </w:pPr>
                    <w:r>
                      <w:rPr>
                        <w:w w:val="105"/>
                        <w:sz w:val="9"/>
                      </w:rPr>
                      <w:t>Aboriginal and Torre Strait Islander students reach their full potential through further education</w:t>
                    </w:r>
                    <w:r>
                      <w:rPr>
                        <w:spacing w:val="-18"/>
                        <w:w w:val="105"/>
                        <w:sz w:val="9"/>
                      </w:rPr>
                      <w:t> </w:t>
                    </w:r>
                    <w:r>
                      <w:rPr>
                        <w:w w:val="105"/>
                        <w:sz w:val="9"/>
                      </w:rPr>
                      <w:t>pathways*</w:t>
                    </w:r>
                  </w:p>
                  <w:p>
                    <w:pPr>
                      <w:numPr>
                        <w:ilvl w:val="0"/>
                        <w:numId w:val="13"/>
                      </w:numPr>
                      <w:tabs>
                        <w:tab w:pos="170" w:val="left" w:leader="none"/>
                      </w:tabs>
                      <w:spacing w:before="51"/>
                      <w:ind w:left="169" w:right="0" w:hanging="170"/>
                      <w:jc w:val="left"/>
                      <w:rPr>
                        <w:sz w:val="9"/>
                      </w:rPr>
                    </w:pPr>
                    <w:r>
                      <w:rPr>
                        <w:w w:val="105"/>
                        <w:sz w:val="9"/>
                      </w:rPr>
                      <w:t>Aboriginal and Torres Strait Islander children enjoy high levels of social, mental health and emotional</w:t>
                    </w:r>
                    <w:r>
                      <w:rPr>
                        <w:spacing w:val="-23"/>
                        <w:w w:val="105"/>
                        <w:sz w:val="9"/>
                      </w:rPr>
                      <w:t> </w:t>
                    </w:r>
                    <w:r>
                      <w:rPr>
                        <w:w w:val="105"/>
                        <w:sz w:val="9"/>
                      </w:rPr>
                      <w:t>wellbeing*</w:t>
                    </w:r>
                  </w:p>
                  <w:p>
                    <w:pPr>
                      <w:numPr>
                        <w:ilvl w:val="0"/>
                        <w:numId w:val="13"/>
                      </w:numPr>
                      <w:tabs>
                        <w:tab w:pos="170" w:val="left" w:leader="none"/>
                      </w:tabs>
                      <w:spacing w:before="50"/>
                      <w:ind w:left="169" w:right="0" w:hanging="170"/>
                      <w:jc w:val="left"/>
                      <w:rPr>
                        <w:sz w:val="9"/>
                      </w:rPr>
                    </w:pPr>
                    <w:r>
                      <w:rPr>
                        <w:w w:val="105"/>
                        <w:sz w:val="9"/>
                      </w:rPr>
                      <w:t>Aboriginal and Torres Strait Islander children have a strong sense of identity and pride in Aboriginal and</w:t>
                    </w:r>
                    <w:r>
                      <w:rPr>
                        <w:spacing w:val="-15"/>
                        <w:w w:val="105"/>
                        <w:sz w:val="9"/>
                      </w:rPr>
                      <w:t> </w:t>
                    </w:r>
                    <w:r>
                      <w:rPr>
                        <w:w w:val="105"/>
                        <w:sz w:val="9"/>
                      </w:rPr>
                      <w:t>T</w:t>
                    </w:r>
                  </w:p>
                  <w:p>
                    <w:pPr>
                      <w:numPr>
                        <w:ilvl w:val="0"/>
                        <w:numId w:val="13"/>
                      </w:numPr>
                      <w:tabs>
                        <w:tab w:pos="170" w:val="left" w:leader="none"/>
                      </w:tabs>
                      <w:spacing w:before="51"/>
                      <w:ind w:left="169" w:right="0" w:hanging="170"/>
                      <w:jc w:val="left"/>
                      <w:rPr>
                        <w:sz w:val="9"/>
                      </w:rPr>
                    </w:pPr>
                    <w:r>
                      <w:rPr>
                        <w:w w:val="105"/>
                        <w:sz w:val="9"/>
                      </w:rPr>
                      <w:t>Aboriginal and Torres Strait Islander children grow up in secure and appropriate housing that is</w:t>
                    </w:r>
                    <w:r>
                      <w:rPr>
                        <w:spacing w:val="-10"/>
                        <w:w w:val="105"/>
                        <w:sz w:val="9"/>
                      </w:rPr>
                      <w:t> </w:t>
                    </w:r>
                    <w:r>
                      <w:rPr>
                        <w:w w:val="105"/>
                        <w:sz w:val="9"/>
                      </w:rPr>
                      <w:t>alig</w:t>
                    </w:r>
                  </w:p>
                  <w:p>
                    <w:pPr>
                      <w:numPr>
                        <w:ilvl w:val="0"/>
                        <w:numId w:val="13"/>
                      </w:numPr>
                      <w:tabs>
                        <w:tab w:pos="170" w:val="left" w:leader="none"/>
                      </w:tabs>
                      <w:spacing w:before="50"/>
                      <w:ind w:left="169" w:right="0" w:hanging="170"/>
                      <w:jc w:val="left"/>
                      <w:rPr>
                        <w:sz w:val="9"/>
                      </w:rPr>
                    </w:pPr>
                    <w:r>
                      <w:rPr>
                        <w:w w:val="105"/>
                        <w:sz w:val="9"/>
                      </w:rPr>
                      <w:t>Aboriginal and Torres Strait Islander children are able to exercise their agency in the</w:t>
                    </w:r>
                    <w:r>
                      <w:rPr>
                        <w:spacing w:val="-12"/>
                        <w:w w:val="105"/>
                        <w:sz w:val="9"/>
                      </w:rPr>
                      <w:t> </w:t>
                    </w:r>
                    <w:r>
                      <w:rPr>
                        <w:w w:val="105"/>
                        <w:sz w:val="9"/>
                      </w:rPr>
                      <w:t>commu</w:t>
                    </w:r>
                  </w:p>
                  <w:p>
                    <w:pPr>
                      <w:numPr>
                        <w:ilvl w:val="0"/>
                        <w:numId w:val="13"/>
                      </w:numPr>
                      <w:tabs>
                        <w:tab w:pos="170" w:val="left" w:leader="none"/>
                      </w:tabs>
                      <w:spacing w:before="50"/>
                      <w:ind w:left="169" w:right="0" w:hanging="170"/>
                      <w:jc w:val="left"/>
                      <w:rPr>
                        <w:sz w:val="9"/>
                      </w:rPr>
                    </w:pPr>
                    <w:r>
                      <w:rPr>
                        <w:w w:val="105"/>
                        <w:sz w:val="9"/>
                      </w:rPr>
                      <w:t>Aboriginal and Torres Strait Islander children grow up in loving and supportive environ</w:t>
                    </w:r>
                  </w:p>
                  <w:p>
                    <w:pPr>
                      <w:spacing w:line="240" w:lineRule="auto" w:before="8"/>
                      <w:rPr>
                        <w:sz w:val="12"/>
                      </w:rPr>
                    </w:pPr>
                  </w:p>
                  <w:p>
                    <w:pPr>
                      <w:spacing w:before="0"/>
                      <w:ind w:left="149" w:right="0" w:firstLine="0"/>
                      <w:jc w:val="left"/>
                      <w:rPr>
                        <w:b/>
                        <w:sz w:val="10"/>
                      </w:rPr>
                    </w:pPr>
                    <w:r>
                      <w:rPr>
                        <w:b/>
                        <w:color w:val="FFFFFF"/>
                        <w:w w:val="105"/>
                        <w:sz w:val="10"/>
                      </w:rPr>
                      <w:t>Sustainable development of the community-controlled sect</w:t>
                    </w:r>
                  </w:p>
                  <w:p>
                    <w:pPr>
                      <w:spacing w:line="240" w:lineRule="auto" w:before="9"/>
                      <w:rPr>
                        <w:b/>
                        <w:sz w:val="9"/>
                      </w:rPr>
                    </w:pPr>
                  </w:p>
                  <w:p>
                    <w:pPr>
                      <w:numPr>
                        <w:ilvl w:val="0"/>
                        <w:numId w:val="13"/>
                      </w:numPr>
                      <w:tabs>
                        <w:tab w:pos="188" w:val="left" w:leader="none"/>
                      </w:tabs>
                      <w:spacing w:before="1"/>
                      <w:ind w:left="187" w:right="0" w:hanging="188"/>
                      <w:jc w:val="left"/>
                      <w:rPr>
                        <w:sz w:val="9"/>
                      </w:rPr>
                    </w:pPr>
                    <w:r>
                      <w:rPr>
                        <w:w w:val="105"/>
                        <w:sz w:val="9"/>
                      </w:rPr>
                      <w:t>The community-controlled sector is supported to strengthen its</w:t>
                    </w:r>
                    <w:r>
                      <w:rPr>
                        <w:spacing w:val="-5"/>
                        <w:w w:val="105"/>
                        <w:sz w:val="9"/>
                      </w:rPr>
                      <w:t> </w:t>
                    </w:r>
                    <w:r>
                      <w:rPr>
                        <w:w w:val="105"/>
                        <w:sz w:val="9"/>
                      </w:rPr>
                      <w:t>ca</w:t>
                    </w:r>
                  </w:p>
                  <w:p>
                    <w:pPr>
                      <w:numPr>
                        <w:ilvl w:val="0"/>
                        <w:numId w:val="13"/>
                      </w:numPr>
                      <w:tabs>
                        <w:tab w:pos="188" w:val="left" w:leader="none"/>
                      </w:tabs>
                      <w:spacing w:before="77"/>
                      <w:ind w:left="187" w:right="0" w:hanging="188"/>
                      <w:jc w:val="left"/>
                      <w:rPr>
                        <w:sz w:val="9"/>
                      </w:rPr>
                    </w:pPr>
                    <w:r>
                      <w:rPr>
                        <w:w w:val="105"/>
                        <w:sz w:val="9"/>
                      </w:rPr>
                      <w:t>The community-controlled sector has access to data and</w:t>
                    </w:r>
                    <w:r>
                      <w:rPr>
                        <w:spacing w:val="-2"/>
                        <w:w w:val="105"/>
                        <w:sz w:val="9"/>
                      </w:rPr>
                      <w:t> </w:t>
                    </w:r>
                    <w:r>
                      <w:rPr>
                        <w:w w:val="105"/>
                        <w:sz w:val="9"/>
                      </w:rPr>
                      <w:t>in</w:t>
                    </w:r>
                  </w:p>
                  <w:p>
                    <w:pPr>
                      <w:numPr>
                        <w:ilvl w:val="0"/>
                        <w:numId w:val="13"/>
                      </w:numPr>
                      <w:tabs>
                        <w:tab w:pos="188" w:val="left" w:leader="none"/>
                      </w:tabs>
                      <w:spacing w:before="76"/>
                      <w:ind w:left="187" w:right="0" w:hanging="188"/>
                      <w:jc w:val="left"/>
                      <w:rPr>
                        <w:sz w:val="9"/>
                      </w:rPr>
                    </w:pPr>
                    <w:r>
                      <w:rPr>
                        <w:w w:val="105"/>
                        <w:sz w:val="9"/>
                      </w:rPr>
                      <w:t>Aboriginal and Torres Strait Islander families and</w:t>
                    </w:r>
                    <w:r>
                      <w:rPr>
                        <w:spacing w:val="6"/>
                        <w:w w:val="105"/>
                        <w:sz w:val="9"/>
                      </w:rPr>
                      <w:t> </w:t>
                    </w:r>
                    <w:r>
                      <w:rPr>
                        <w:w w:val="105"/>
                        <w:sz w:val="9"/>
                      </w:rPr>
                      <w:t>c</w:t>
                    </w:r>
                  </w:p>
                  <w:p>
                    <w:pPr>
                      <w:numPr>
                        <w:ilvl w:val="0"/>
                        <w:numId w:val="13"/>
                      </w:numPr>
                      <w:tabs>
                        <w:tab w:pos="188" w:val="left" w:leader="none"/>
                      </w:tabs>
                      <w:spacing w:before="78"/>
                      <w:ind w:left="187" w:right="0" w:hanging="188"/>
                      <w:jc w:val="left"/>
                      <w:rPr>
                        <w:sz w:val="9"/>
                      </w:rPr>
                    </w:pPr>
                    <w:r>
                      <w:rPr>
                        <w:w w:val="105"/>
                        <w:sz w:val="9"/>
                      </w:rPr>
                      <w:t>Aboriginal and Torres Strait Islander</w:t>
                    </w:r>
                    <w:r>
                      <w:rPr>
                        <w:spacing w:val="3"/>
                        <w:w w:val="105"/>
                        <w:sz w:val="9"/>
                      </w:rPr>
                      <w:t> </w:t>
                    </w:r>
                    <w:r>
                      <w:rPr>
                        <w:w w:val="105"/>
                        <w:sz w:val="9"/>
                      </w:rPr>
                      <w:t>leaders</w:t>
                    </w:r>
                  </w:p>
                  <w:p>
                    <w:pPr>
                      <w:spacing w:line="240" w:lineRule="auto" w:before="11"/>
                      <w:rPr>
                        <w:sz w:val="10"/>
                      </w:rPr>
                    </w:pPr>
                  </w:p>
                  <w:p>
                    <w:pPr>
                      <w:spacing w:before="0"/>
                      <w:ind w:left="149" w:right="0" w:firstLine="0"/>
                      <w:jc w:val="left"/>
                      <w:rPr>
                        <w:b/>
                        <w:sz w:val="10"/>
                      </w:rPr>
                    </w:pPr>
                    <w:r>
                      <w:rPr>
                        <w:b/>
                        <w:color w:val="FFFFFF"/>
                        <w:w w:val="105"/>
                        <w:sz w:val="10"/>
                      </w:rPr>
                      <w:t>Successful re-orientation o</w:t>
                    </w:r>
                  </w:p>
                  <w:p>
                    <w:pPr>
                      <w:spacing w:line="240" w:lineRule="auto" w:before="7"/>
                      <w:rPr>
                        <w:b/>
                        <w:sz w:val="13"/>
                      </w:rPr>
                    </w:pPr>
                  </w:p>
                  <w:p>
                    <w:pPr>
                      <w:numPr>
                        <w:ilvl w:val="0"/>
                        <w:numId w:val="13"/>
                      </w:numPr>
                      <w:tabs>
                        <w:tab w:pos="188" w:val="left" w:leader="none"/>
                      </w:tabs>
                      <w:spacing w:before="0"/>
                      <w:ind w:left="187" w:right="0" w:hanging="188"/>
                      <w:jc w:val="left"/>
                      <w:rPr>
                        <w:sz w:val="9"/>
                      </w:rPr>
                    </w:pPr>
                    <w:r>
                      <w:rPr>
                        <w:w w:val="105"/>
                        <w:sz w:val="9"/>
                      </w:rPr>
                      <w:t>Funding,</w:t>
                    </w:r>
                    <w:r>
                      <w:rPr>
                        <w:spacing w:val="-1"/>
                        <w:w w:val="105"/>
                        <w:sz w:val="9"/>
                      </w:rPr>
                      <w:t> </w:t>
                    </w:r>
                    <w:r>
                      <w:rPr>
                        <w:w w:val="105"/>
                        <w:sz w:val="9"/>
                      </w:rPr>
                      <w:t>procurement</w:t>
                    </w:r>
                  </w:p>
                  <w:p>
                    <w:pPr>
                      <w:numPr>
                        <w:ilvl w:val="0"/>
                        <w:numId w:val="13"/>
                      </w:numPr>
                      <w:tabs>
                        <w:tab w:pos="188" w:val="left" w:leader="none"/>
                      </w:tabs>
                      <w:spacing w:before="77"/>
                      <w:ind w:left="187" w:right="0" w:hanging="188"/>
                      <w:jc w:val="left"/>
                      <w:rPr>
                        <w:sz w:val="9"/>
                      </w:rPr>
                    </w:pPr>
                    <w:r>
                      <w:rPr>
                        <w:w w:val="105"/>
                        <w:sz w:val="9"/>
                      </w:rPr>
                      <w:t>Strengthened</w:t>
                    </w:r>
                    <w:r>
                      <w:rPr>
                        <w:spacing w:val="-6"/>
                        <w:w w:val="105"/>
                        <w:sz w:val="9"/>
                      </w:rPr>
                      <w:t> </w:t>
                    </w:r>
                    <w:r>
                      <w:rPr>
                        <w:w w:val="105"/>
                        <w:sz w:val="9"/>
                      </w:rPr>
                      <w:t>a</w:t>
                    </w:r>
                  </w:p>
                  <w:p>
                    <w:pPr>
                      <w:numPr>
                        <w:ilvl w:val="0"/>
                        <w:numId w:val="13"/>
                      </w:numPr>
                      <w:tabs>
                        <w:tab w:pos="188" w:val="left" w:leader="none"/>
                      </w:tabs>
                      <w:spacing w:before="76"/>
                      <w:ind w:left="187" w:right="0" w:hanging="188"/>
                      <w:jc w:val="left"/>
                      <w:rPr>
                        <w:sz w:val="9"/>
                      </w:rPr>
                    </w:pPr>
                    <w:r>
                      <w:rPr>
                        <w:w w:val="105"/>
                        <w:sz w:val="9"/>
                      </w:rPr>
                      <w:t>All</w:t>
                    </w:r>
                    <w:r>
                      <w:rPr>
                        <w:spacing w:val="-2"/>
                        <w:w w:val="105"/>
                        <w:sz w:val="9"/>
                      </w:rPr>
                      <w:t> </w:t>
                    </w:r>
                    <w:r>
                      <w:rPr>
                        <w:w w:val="105"/>
                        <w:sz w:val="9"/>
                      </w:rPr>
                      <w:t>gove</w:t>
                    </w:r>
                  </w:p>
                </w:txbxContent>
              </v:textbox>
              <w10:wrap type="none"/>
            </v:shape>
            <w10:wrap type="none"/>
          </v:group>
        </w:pict>
      </w:r>
      <w:r>
        <w:rPr/>
        <w:pict>
          <v:group style="position:absolute;margin-left:78.318001pt;margin-top:86.178299pt;width:146.9pt;height:145.050pt;mso-position-horizontal-relative:page;mso-position-vertical-relative:paragraph;z-index:251745280" coordorigin="1566,1724" coordsize="2938,2901">
            <v:shape style="position:absolute;left:1566;top:1723;width:2938;height:2901" coordorigin="1566,1724" coordsize="2938,2901" path="m4493,2046l4473,2046,4473,2066,4473,3061,1586,3061,1586,2066,4473,2066,4473,2046,1566,2046,1566,3081,4493,3081,4493,3071,4493,3061,4493,2066,4493,2056,4493,2046m4504,4328l1578,4328,1578,4624,4504,4624,4504,4615,4504,4605,4504,4348,4504,4338,4504,4328m4504,3456l4484,3456,4484,3476,4484,4290,1598,4290,1598,3476,4484,3476,4484,3456,1578,3456,1578,4310,4504,4310,4504,4300,4504,4290,4504,3476,4504,3466,4504,3456m4504,3114l1578,3114,1578,3409,4504,3409,4504,3399,4504,3389,4504,3134,4504,3124,4504,3114m4504,1724l1578,1724,1578,2018,4504,2018,4504,2008,4504,1998,4504,1744,4504,1734,4504,1724e" filled="true" fillcolor="#993300" stroked="false">
              <v:path arrowok="t"/>
              <v:fill type="solid"/>
            </v:shape>
            <v:shape style="position:absolute;left:1668;top:2077;width:2604;height:968" type="#_x0000_t202" filled="false" stroked="false">
              <v:textbox inset="0,0,0,0">
                <w:txbxContent>
                  <w:p>
                    <w:pPr>
                      <w:numPr>
                        <w:ilvl w:val="0"/>
                        <w:numId w:val="14"/>
                      </w:numPr>
                      <w:tabs>
                        <w:tab w:pos="181" w:val="left" w:leader="none"/>
                      </w:tabs>
                      <w:spacing w:line="266" w:lineRule="auto" w:before="7"/>
                      <w:ind w:left="180" w:right="18" w:hanging="181"/>
                      <w:jc w:val="left"/>
                      <w:rPr>
                        <w:sz w:val="10"/>
                      </w:rPr>
                    </w:pPr>
                    <w:r>
                      <w:rPr>
                        <w:w w:val="105"/>
                        <w:sz w:val="10"/>
                      </w:rPr>
                      <w:t>Commit to genuine co-design processes that implement Aboriginal and Torres Strait Islander</w:t>
                    </w:r>
                    <w:r>
                      <w:rPr>
                        <w:spacing w:val="-2"/>
                        <w:w w:val="105"/>
                        <w:sz w:val="10"/>
                      </w:rPr>
                      <w:t> </w:t>
                    </w:r>
                    <w:r>
                      <w:rPr>
                        <w:w w:val="105"/>
                        <w:sz w:val="10"/>
                      </w:rPr>
                      <w:t>solutions</w:t>
                    </w:r>
                  </w:p>
                  <w:p>
                    <w:pPr>
                      <w:numPr>
                        <w:ilvl w:val="0"/>
                        <w:numId w:val="14"/>
                      </w:numPr>
                      <w:tabs>
                        <w:tab w:pos="181" w:val="left" w:leader="none"/>
                      </w:tabs>
                      <w:spacing w:before="81"/>
                      <w:ind w:left="180" w:right="0" w:hanging="181"/>
                      <w:jc w:val="left"/>
                      <w:rPr>
                        <w:sz w:val="10"/>
                      </w:rPr>
                    </w:pPr>
                    <w:r>
                      <w:rPr>
                        <w:w w:val="105"/>
                        <w:sz w:val="10"/>
                      </w:rPr>
                      <w:t>Enable the right to</w:t>
                    </w:r>
                    <w:r>
                      <w:rPr>
                        <w:spacing w:val="10"/>
                        <w:w w:val="105"/>
                        <w:sz w:val="10"/>
                      </w:rPr>
                      <w:t> </w:t>
                    </w:r>
                    <w:r>
                      <w:rPr>
                        <w:w w:val="105"/>
                        <w:sz w:val="10"/>
                      </w:rPr>
                      <w:t>self-determination</w:t>
                    </w:r>
                  </w:p>
                  <w:p>
                    <w:pPr>
                      <w:numPr>
                        <w:ilvl w:val="0"/>
                        <w:numId w:val="14"/>
                      </w:numPr>
                      <w:tabs>
                        <w:tab w:pos="181" w:val="left" w:leader="none"/>
                      </w:tabs>
                      <w:spacing w:line="268" w:lineRule="auto" w:before="94"/>
                      <w:ind w:left="180" w:right="214" w:hanging="181"/>
                      <w:jc w:val="left"/>
                      <w:rPr>
                        <w:sz w:val="10"/>
                      </w:rPr>
                    </w:pPr>
                    <w:r>
                      <w:rPr>
                        <w:w w:val="105"/>
                        <w:sz w:val="10"/>
                      </w:rPr>
                      <w:t>Elevate Indigenous voice, leadership and governance</w:t>
                    </w:r>
                  </w:p>
                </w:txbxContent>
              </v:textbox>
              <w10:wrap type="none"/>
            </v:shape>
            <v:shape style="position:absolute;left:1680;top:3463;width:2736;height:832" type="#_x0000_t202" filled="false" stroked="false">
              <v:textbox inset="0,0,0,0">
                <w:txbxContent>
                  <w:p>
                    <w:pPr>
                      <w:numPr>
                        <w:ilvl w:val="0"/>
                        <w:numId w:val="15"/>
                      </w:numPr>
                      <w:tabs>
                        <w:tab w:pos="181" w:val="left" w:leader="none"/>
                      </w:tabs>
                      <w:spacing w:line="264" w:lineRule="auto" w:before="7"/>
                      <w:ind w:left="180" w:right="336" w:hanging="181"/>
                      <w:jc w:val="left"/>
                      <w:rPr>
                        <w:sz w:val="10"/>
                      </w:rPr>
                    </w:pPr>
                    <w:r>
                      <w:rPr>
                        <w:w w:val="105"/>
                        <w:sz w:val="10"/>
                      </w:rPr>
                      <w:t>Strengthen the capacity and capability of ACCOs</w:t>
                    </w:r>
                  </w:p>
                  <w:p>
                    <w:pPr>
                      <w:numPr>
                        <w:ilvl w:val="0"/>
                        <w:numId w:val="15"/>
                      </w:numPr>
                      <w:tabs>
                        <w:tab w:pos="181" w:val="left" w:leader="none"/>
                      </w:tabs>
                      <w:spacing w:before="82"/>
                      <w:ind w:left="180" w:right="0" w:hanging="181"/>
                      <w:jc w:val="left"/>
                      <w:rPr>
                        <w:sz w:val="10"/>
                      </w:rPr>
                    </w:pPr>
                    <w:r>
                      <w:rPr>
                        <w:w w:val="105"/>
                        <w:sz w:val="10"/>
                      </w:rPr>
                      <w:t>Shift in power and resources to the</w:t>
                    </w:r>
                    <w:r>
                      <w:rPr>
                        <w:spacing w:val="27"/>
                        <w:w w:val="105"/>
                        <w:sz w:val="10"/>
                      </w:rPr>
                      <w:t> </w:t>
                    </w:r>
                    <w:r>
                      <w:rPr>
                        <w:w w:val="105"/>
                        <w:sz w:val="10"/>
                      </w:rPr>
                      <w:t>community</w:t>
                    </w:r>
                  </w:p>
                  <w:p>
                    <w:pPr>
                      <w:numPr>
                        <w:ilvl w:val="0"/>
                        <w:numId w:val="15"/>
                      </w:numPr>
                      <w:tabs>
                        <w:tab w:pos="181" w:val="left" w:leader="none"/>
                      </w:tabs>
                      <w:spacing w:before="94"/>
                      <w:ind w:left="180" w:right="0" w:hanging="181"/>
                      <w:jc w:val="left"/>
                      <w:rPr>
                        <w:sz w:val="10"/>
                      </w:rPr>
                    </w:pPr>
                    <w:r>
                      <w:rPr>
                        <w:w w:val="105"/>
                        <w:sz w:val="10"/>
                      </w:rPr>
                      <w:t>Scale effective and innovative</w:t>
                    </w:r>
                    <w:r>
                      <w:rPr>
                        <w:spacing w:val="11"/>
                        <w:w w:val="105"/>
                        <w:sz w:val="10"/>
                      </w:rPr>
                      <w:t> </w:t>
                    </w:r>
                    <w:r>
                      <w:rPr>
                        <w:w w:val="105"/>
                        <w:sz w:val="10"/>
                      </w:rPr>
                      <w:t>place-based</w:t>
                    </w:r>
                  </w:p>
                  <w:p>
                    <w:pPr>
                      <w:spacing w:before="14"/>
                      <w:ind w:left="180" w:right="0" w:firstLine="0"/>
                      <w:jc w:val="left"/>
                      <w:rPr>
                        <w:sz w:val="10"/>
                      </w:rPr>
                    </w:pPr>
                    <w:r>
                      <w:rPr>
                        <w:w w:val="110"/>
                        <w:sz w:val="10"/>
                      </w:rPr>
                      <w:t>responses</w:t>
                    </w:r>
                  </w:p>
                </w:txbxContent>
              </v:textbox>
              <w10:wrap type="none"/>
            </v:shape>
            <v:shape style="position:absolute;left:1587;top:4338;width:2907;height:277" type="#_x0000_t202" filled="false" stroked="false">
              <v:textbox inset="0,0,0,0">
                <w:txbxContent>
                  <w:p>
                    <w:pPr>
                      <w:spacing w:before="77"/>
                      <w:ind w:left="92" w:right="0" w:firstLine="0"/>
                      <w:jc w:val="left"/>
                      <w:rPr>
                        <w:b/>
                        <w:sz w:val="10"/>
                      </w:rPr>
                    </w:pPr>
                    <w:r>
                      <w:rPr>
                        <w:b/>
                        <w:color w:val="FFFFFF"/>
                        <w:w w:val="105"/>
                        <w:sz w:val="10"/>
                      </w:rPr>
                      <w:t>3. Re-orient government mechanisms</w:t>
                    </w:r>
                  </w:p>
                </w:txbxContent>
              </v:textbox>
              <w10:wrap type="none"/>
            </v:shape>
            <v:shape style="position:absolute;left:1587;top:3123;width:2907;height:275" type="#_x0000_t202" filled="false" stroked="false">
              <v:textbox inset="0,0,0,0">
                <w:txbxContent>
                  <w:p>
                    <w:pPr>
                      <w:spacing w:line="264" w:lineRule="auto" w:before="9"/>
                      <w:ind w:left="92" w:right="0" w:firstLine="0"/>
                      <w:jc w:val="left"/>
                      <w:rPr>
                        <w:b/>
                        <w:sz w:val="10"/>
                      </w:rPr>
                    </w:pPr>
                    <w:r>
                      <w:rPr>
                        <w:b/>
                        <w:color w:val="FFFFFF"/>
                        <w:w w:val="105"/>
                        <w:sz w:val="10"/>
                      </w:rPr>
                      <w:t>2. Sustainably develop the community- controlled sector</w:t>
                    </w:r>
                  </w:p>
                </w:txbxContent>
              </v:textbox>
              <w10:wrap type="none"/>
            </v:shape>
            <v:shape style="position:absolute;left:1587;top:1733;width:2907;height:275" type="#_x0000_t202" filled="false" stroked="false">
              <v:textbox inset="0,0,0,0">
                <w:txbxContent>
                  <w:p>
                    <w:pPr>
                      <w:spacing w:before="8"/>
                      <w:ind w:left="92" w:right="0" w:firstLine="0"/>
                      <w:jc w:val="left"/>
                      <w:rPr>
                        <w:b/>
                        <w:sz w:val="10"/>
                      </w:rPr>
                    </w:pPr>
                    <w:r>
                      <w:rPr>
                        <w:b/>
                        <w:color w:val="FFFFFF"/>
                        <w:w w:val="110"/>
                        <w:sz w:val="10"/>
                      </w:rPr>
                      <w:t>1. Recognise and enable transformational</w:t>
                    </w:r>
                  </w:p>
                  <w:p>
                    <w:pPr>
                      <w:spacing w:before="13"/>
                      <w:ind w:left="281" w:right="0" w:firstLine="0"/>
                      <w:jc w:val="left"/>
                      <w:rPr>
                        <w:b/>
                        <w:sz w:val="10"/>
                      </w:rPr>
                    </w:pPr>
                    <w:r>
                      <w:rPr>
                        <w:b/>
                        <w:color w:val="FFFFFF"/>
                        <w:w w:val="105"/>
                        <w:sz w:val="10"/>
                      </w:rPr>
                      <w:t>change in the system</w:t>
                    </w:r>
                  </w:p>
                </w:txbxContent>
              </v:textbox>
              <w10:wrap type="none"/>
            </v:shape>
            <w10:wrap type="none"/>
          </v:group>
        </w:pict>
      </w:r>
      <w:bookmarkStart w:name="_bookmark13" w:id="14"/>
      <w:bookmarkEnd w:id="14"/>
      <w:r>
        <w:rPr>
          <w:b w:val="0"/>
        </w:rPr>
      </w:r>
      <w:r>
        <w:rPr>
          <w:color w:val="61B5E4"/>
        </w:rPr>
        <w:t>Program logic model</w:t>
      </w:r>
    </w:p>
    <w:p>
      <w:pPr>
        <w:pStyle w:val="BodyText"/>
        <w:spacing w:before="7"/>
        <w:rPr>
          <w:b/>
          <w:sz w:val="19"/>
        </w:rPr>
      </w:pPr>
      <w:r>
        <w:rPr/>
        <w:pict>
          <v:group style="position:absolute;margin-left:75.164513pt;margin-top:13.910278pt;width:689pt;height:18.45pt;mso-position-horizontal-relative:page;mso-position-vertical-relative:paragraph;z-index:-251585536;mso-wrap-distance-left:0;mso-wrap-distance-right:0" coordorigin="1503,278" coordsize="13780,369">
            <v:line style="position:absolute" from="1510,640" to="14648,640" stroked="true" strokeweight=".665772pt" strokecolor="#f5821f">
              <v:stroke dashstyle="solid"/>
            </v:line>
            <v:shape style="position:absolute;left:1509;top:284;width:13767;height:355" coordorigin="1510,285" coordsize="13767,355" path="m15276,304l15276,285,1510,285,1510,640e" filled="false" stroked="true" strokeweight=".665773pt" strokecolor="#f5821f">
              <v:path arrowok="t"/>
              <v:stroke dashstyle="solid"/>
            </v:shape>
            <v:shape style="position:absolute;left:1516;top:291;width:13760;height:342" type="#_x0000_t202" filled="false" stroked="false">
              <v:textbox inset="0,0,0,0">
                <w:txbxContent>
                  <w:p>
                    <w:pPr>
                      <w:spacing w:line="247" w:lineRule="auto" w:before="0"/>
                      <w:ind w:left="6059" w:right="0" w:hanging="6047"/>
                      <w:jc w:val="left"/>
                      <w:rPr>
                        <w:sz w:val="14"/>
                      </w:rPr>
                    </w:pPr>
                    <w:r>
                      <w:rPr>
                        <w:b/>
                        <w:color w:val="303030"/>
                        <w:w w:val="105"/>
                        <w:sz w:val="14"/>
                      </w:rPr>
                      <w:t>Objectives of the </w:t>
                    </w:r>
                    <w:r>
                      <w:rPr>
                        <w:b/>
                        <w:i/>
                        <w:color w:val="303030"/>
                        <w:w w:val="105"/>
                        <w:sz w:val="14"/>
                      </w:rPr>
                      <w:t>Our Way </w:t>
                    </w:r>
                    <w:r>
                      <w:rPr>
                        <w:b/>
                        <w:color w:val="303030"/>
                        <w:w w:val="105"/>
                        <w:sz w:val="14"/>
                      </w:rPr>
                      <w:t>strategy: </w:t>
                    </w:r>
                    <w:r>
                      <w:rPr>
                        <w:w w:val="105"/>
                        <w:sz w:val="14"/>
                      </w:rPr>
                      <w:t>Eliminate the disproportionate representation of Aboriginal and Torres Strait Islander children in the child protection system and close the gap i life outcomes by 2037</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20"/>
        </w:rPr>
      </w:pPr>
      <w:r>
        <w:rPr/>
        <w:pict>
          <v:group style="position:absolute;margin-left:79.038155pt;margin-top:14.705647pt;width:122.15pt;height:56.15pt;mso-position-horizontal-relative:page;mso-position-vertical-relative:paragraph;z-index:-251583488;mso-wrap-distance-left:0;mso-wrap-distance-right:0" coordorigin="1581,294" coordsize="2443,1123">
            <v:shape style="position:absolute;left:1580;top:294;width:2443;height:1123" coordorigin="1581,294" coordsize="2443,1123" path="m4024,294l1581,294,1581,1417,1923,1417,1942,1407,1601,1407,1591,1397,1601,1397,1601,314,1591,314,1601,304,4005,304,4024,294xm1601,1397l1591,1397,1601,1407,1601,1397xm1961,1397l1601,1397,1601,1407,1942,1407,1961,1397xm1601,304l1591,314,1601,314,1601,304xm4005,304l1601,304,1601,314,3986,314,4005,304xe" filled="true" fillcolor="#993300" stroked="false">
              <v:path arrowok="t"/>
              <v:fill type="solid"/>
            </v:shape>
            <v:shape style="position:absolute;left:1580;top:294;width:2443;height:1123" type="#_x0000_t202" filled="false" stroked="false">
              <v:textbox inset="0,0,0,0">
                <w:txbxContent>
                  <w:p>
                    <w:pPr>
                      <w:spacing w:line="240" w:lineRule="auto" w:before="4"/>
                      <w:rPr>
                        <w:b/>
                        <w:sz w:val="12"/>
                      </w:rPr>
                    </w:pPr>
                  </w:p>
                  <w:p>
                    <w:pPr>
                      <w:numPr>
                        <w:ilvl w:val="0"/>
                        <w:numId w:val="16"/>
                      </w:numPr>
                      <w:tabs>
                        <w:tab w:pos="283" w:val="left" w:leader="none"/>
                      </w:tabs>
                      <w:spacing w:line="264" w:lineRule="auto" w:before="1"/>
                      <w:ind w:left="283" w:right="406" w:hanging="181"/>
                      <w:jc w:val="left"/>
                      <w:rPr>
                        <w:sz w:val="10"/>
                      </w:rPr>
                    </w:pPr>
                    <w:r>
                      <w:rPr>
                        <w:w w:val="105"/>
                        <w:sz w:val="10"/>
                      </w:rPr>
                      <w:t>Whole-of-system awareness and to the Our Way</w:t>
                    </w:r>
                    <w:r>
                      <w:rPr>
                        <w:spacing w:val="6"/>
                        <w:w w:val="105"/>
                        <w:sz w:val="10"/>
                      </w:rPr>
                      <w:t> </w:t>
                    </w:r>
                    <w:r>
                      <w:rPr>
                        <w:w w:val="105"/>
                        <w:sz w:val="10"/>
                      </w:rPr>
                      <w:t>strategy</w:t>
                    </w:r>
                  </w:p>
                  <w:p>
                    <w:pPr>
                      <w:numPr>
                        <w:ilvl w:val="0"/>
                        <w:numId w:val="16"/>
                      </w:numPr>
                      <w:tabs>
                        <w:tab w:pos="283" w:val="left" w:leader="none"/>
                      </w:tabs>
                      <w:spacing w:line="268" w:lineRule="auto" w:before="82"/>
                      <w:ind w:left="283" w:right="1019" w:hanging="181"/>
                      <w:jc w:val="left"/>
                      <w:rPr>
                        <w:sz w:val="10"/>
                      </w:rPr>
                    </w:pPr>
                    <w:r>
                      <w:rPr>
                        <w:w w:val="105"/>
                        <w:sz w:val="10"/>
                      </w:rPr>
                      <w:t>Understand the </w:t>
                    </w:r>
                    <w:r>
                      <w:rPr>
                        <w:spacing w:val="-3"/>
                        <w:w w:val="105"/>
                        <w:sz w:val="10"/>
                      </w:rPr>
                      <w:t>socio </w:t>
                    </w:r>
                    <w:r>
                      <w:rPr>
                        <w:w w:val="105"/>
                        <w:sz w:val="10"/>
                      </w:rPr>
                      <w:t>drivers to over-r</w:t>
                    </w:r>
                  </w:p>
                  <w:p>
                    <w:pPr>
                      <w:numPr>
                        <w:ilvl w:val="0"/>
                        <w:numId w:val="16"/>
                      </w:numPr>
                      <w:tabs>
                        <w:tab w:pos="283" w:val="left" w:leader="none"/>
                      </w:tabs>
                      <w:spacing w:before="79"/>
                      <w:ind w:left="283" w:right="0" w:hanging="181"/>
                      <w:jc w:val="left"/>
                      <w:rPr>
                        <w:sz w:val="10"/>
                      </w:rPr>
                    </w:pPr>
                    <w:r>
                      <w:rPr>
                        <w:w w:val="105"/>
                        <w:sz w:val="10"/>
                      </w:rPr>
                      <w:t>Focus</w:t>
                    </w:r>
                    <w:r>
                      <w:rPr>
                        <w:spacing w:val="-1"/>
                        <w:w w:val="105"/>
                        <w:sz w:val="10"/>
                      </w:rPr>
                      <w:t> </w:t>
                    </w:r>
                    <w:r>
                      <w:rPr>
                        <w:w w:val="105"/>
                        <w:sz w:val="10"/>
                      </w:rPr>
                      <w:t>on</w:t>
                    </w:r>
                  </w:p>
                </w:txbxContent>
              </v:textbox>
              <w10:wrap type="none"/>
            </v:shape>
            <w10:wrap type="topAndBottom"/>
          </v:group>
        </w:pict>
      </w:r>
    </w:p>
    <w:p>
      <w:pPr>
        <w:spacing w:before="11"/>
        <w:ind w:left="386" w:right="0" w:firstLine="0"/>
        <w:jc w:val="left"/>
        <w:rPr>
          <w:sz w:val="12"/>
        </w:rPr>
      </w:pPr>
      <w:r>
        <w:rPr>
          <w:color w:val="303030"/>
          <w:sz w:val="12"/>
        </w:rPr>
        <w:t>* Q</w:t>
      </w:r>
    </w:p>
    <w:p>
      <w:pPr>
        <w:spacing w:after="0"/>
        <w:jc w:val="left"/>
        <w:rPr>
          <w:sz w:val="12"/>
        </w:rPr>
        <w:sectPr>
          <w:pgSz w:w="16840" w:h="11910" w:orient="landscape"/>
          <w:pgMar w:header="650" w:footer="420" w:top="1180" w:bottom="620" w:left="1200" w:right="1460"/>
        </w:sectPr>
      </w:pPr>
    </w:p>
    <w:p>
      <w:pPr>
        <w:pStyle w:val="Heading1"/>
        <w:numPr>
          <w:ilvl w:val="0"/>
          <w:numId w:val="17"/>
        </w:numPr>
        <w:tabs>
          <w:tab w:pos="1094" w:val="left" w:leader="none"/>
          <w:tab w:pos="1095" w:val="left" w:leader="none"/>
        </w:tabs>
        <w:spacing w:line="240" w:lineRule="auto" w:before="90" w:after="0"/>
        <w:ind w:left="1094" w:right="0" w:hanging="795"/>
        <w:jc w:val="left"/>
      </w:pPr>
      <w:bookmarkStart w:name="_bookmark14" w:id="15"/>
      <w:bookmarkEnd w:id="15"/>
      <w:r>
        <w:rPr/>
      </w:r>
      <w:bookmarkStart w:name="_bookmark14" w:id="16"/>
      <w:bookmarkEnd w:id="16"/>
      <w:r>
        <w:rPr/>
        <w:t>Ba</w:t>
      </w:r>
      <w:r>
        <w:rPr/>
        <w:t>ckground</w:t>
      </w:r>
    </w:p>
    <w:p>
      <w:pPr>
        <w:spacing w:line="264" w:lineRule="auto" w:before="499"/>
        <w:ind w:left="300" w:right="909" w:firstLine="0"/>
        <w:jc w:val="left"/>
        <w:rPr>
          <w:i/>
          <w:sz w:val="18"/>
        </w:rPr>
      </w:pPr>
      <w:r>
        <w:rPr>
          <w:i/>
          <w:sz w:val="18"/>
        </w:rPr>
        <w:t>This section of the report provides a brief summary of Our Way and contextual information which </w:t>
      </w:r>
      <w:r>
        <w:rPr>
          <w:i/>
          <w:sz w:val="18"/>
        </w:rPr>
        <w:t>influence the implementation of the strategy.</w:t>
      </w:r>
    </w:p>
    <w:p>
      <w:pPr>
        <w:pStyle w:val="BodyText"/>
        <w:spacing w:before="11"/>
        <w:rPr>
          <w:i/>
        </w:rPr>
      </w:pPr>
    </w:p>
    <w:p>
      <w:pPr>
        <w:pStyle w:val="Heading3"/>
        <w:numPr>
          <w:ilvl w:val="1"/>
          <w:numId w:val="17"/>
        </w:numPr>
        <w:tabs>
          <w:tab w:pos="1094" w:val="left" w:leader="none"/>
          <w:tab w:pos="1095" w:val="left" w:leader="none"/>
        </w:tabs>
        <w:spacing w:line="240" w:lineRule="auto" w:before="0" w:after="0"/>
        <w:ind w:left="1094" w:right="0" w:hanging="795"/>
        <w:jc w:val="left"/>
        <w:rPr>
          <w:i/>
        </w:rPr>
      </w:pPr>
      <w:bookmarkStart w:name="_bookmark15" w:id="17"/>
      <w:bookmarkEnd w:id="17"/>
      <w:r>
        <w:rPr>
          <w:b w:val="0"/>
          <w:i w:val="0"/>
        </w:rPr>
      </w:r>
      <w:bookmarkStart w:name="_bookmark15" w:id="18"/>
      <w:bookmarkEnd w:id="18"/>
      <w:r>
        <w:rPr>
          <w:i/>
          <w:color w:val="61B5E4"/>
        </w:rPr>
        <w:t>O</w:t>
      </w:r>
      <w:r>
        <w:rPr>
          <w:i/>
          <w:color w:val="61B5E4"/>
        </w:rPr>
        <w:t>ur</w:t>
      </w:r>
      <w:r>
        <w:rPr>
          <w:i/>
          <w:color w:val="61B5E4"/>
          <w:spacing w:val="-1"/>
        </w:rPr>
        <w:t> </w:t>
      </w:r>
      <w:r>
        <w:rPr>
          <w:i/>
          <w:color w:val="61B5E4"/>
        </w:rPr>
        <w:t>Way</w:t>
      </w:r>
    </w:p>
    <w:p>
      <w:pPr>
        <w:pStyle w:val="BodyText"/>
        <w:spacing w:line="264" w:lineRule="auto" w:before="20"/>
        <w:ind w:left="300" w:right="763"/>
        <w:rPr>
          <w:sz w:val="12"/>
        </w:rPr>
      </w:pPr>
      <w:r>
        <w:rPr/>
        <w:t>Aboriginal and Torres Strait Islander children in Queensland continue to experience disadvantage. Some live in unsafe situations that lead to their removal from families, communities and cultures at more than eight times the rate of non-Indigenous children</w:t>
      </w:r>
      <w:r>
        <w:rPr>
          <w:position w:val="6"/>
          <w:sz w:val="12"/>
        </w:rPr>
        <w:t>3</w:t>
      </w:r>
      <w:r>
        <w:rPr/>
        <w:t>. More broadly, Aboriginal and Torres Strait Islander peoples also share a continued legacy of pain, trauma, fear, distrust and anger due in part to government decisions, policies and</w:t>
      </w:r>
      <w:r>
        <w:rPr>
          <w:spacing w:val="-7"/>
        </w:rPr>
        <w:t> </w:t>
      </w:r>
      <w:r>
        <w:rPr/>
        <w:t>practices.</w:t>
      </w:r>
      <w:r>
        <w:rPr>
          <w:position w:val="6"/>
          <w:sz w:val="12"/>
        </w:rPr>
        <w:t>4</w:t>
      </w:r>
    </w:p>
    <w:p>
      <w:pPr>
        <w:pStyle w:val="BodyText"/>
        <w:spacing w:line="264" w:lineRule="auto" w:before="168"/>
        <w:ind w:left="300" w:right="746"/>
      </w:pPr>
      <w:r>
        <w:rPr/>
        <w:t>Delivering the best possible outcomes for Aboriginal and Torres Strait Islander children and families is one of the Queensland Government’s highest priorities. To achieve this, the Government has worked in partnership with Family Matters Queensland and community organisations to develop </w:t>
      </w:r>
      <w:r>
        <w:rPr>
          <w:i/>
        </w:rPr>
        <w:t>Our Way: A generational strategy for Aboriginal and Torres Strait Islander children and </w:t>
      </w:r>
      <w:r>
        <w:rPr>
          <w:i/>
        </w:rPr>
        <w:t>families 2017-2037</w:t>
      </w:r>
      <w:r>
        <w:rPr/>
        <w:t>. </w:t>
      </w:r>
      <w:r>
        <w:rPr>
          <w:i/>
        </w:rPr>
        <w:t>Our Way</w:t>
      </w:r>
      <w:r>
        <w:rPr/>
        <w:t>’s vision and aspiration is for Aboriginal and Torres Strait Islander young people in Queensland to grow up safely and cared for in family, community, and</w:t>
      </w:r>
      <w:r>
        <w:rPr>
          <w:spacing w:val="-31"/>
        </w:rPr>
        <w:t> </w:t>
      </w:r>
      <w:r>
        <w:rPr/>
        <w:t>culture.</w:t>
      </w:r>
    </w:p>
    <w:p>
      <w:pPr>
        <w:pStyle w:val="BodyText"/>
        <w:spacing w:before="5"/>
        <w:rPr>
          <w:sz w:val="19"/>
        </w:rPr>
      </w:pPr>
    </w:p>
    <w:p>
      <w:pPr>
        <w:pStyle w:val="BodyText"/>
        <w:ind w:left="300"/>
      </w:pPr>
      <w:r>
        <w:rPr/>
        <w:t>The strategy spans across 20 years and seeks to achieve the follow objectives:</w:t>
      </w:r>
    </w:p>
    <w:p>
      <w:pPr>
        <w:pStyle w:val="ListParagraph"/>
        <w:numPr>
          <w:ilvl w:val="0"/>
          <w:numId w:val="18"/>
        </w:numPr>
        <w:tabs>
          <w:tab w:pos="642" w:val="left" w:leader="none"/>
        </w:tabs>
        <w:spacing w:line="264" w:lineRule="auto" w:before="21" w:after="0"/>
        <w:ind w:left="641" w:right="934" w:hanging="341"/>
        <w:jc w:val="left"/>
        <w:rPr>
          <w:sz w:val="18"/>
        </w:rPr>
      </w:pPr>
      <w:r>
        <w:rPr>
          <w:sz w:val="18"/>
        </w:rPr>
        <w:t>eliminate the disproportionate representation of Aboriginal and Torres Strait Islander children in the child protection system by</w:t>
      </w:r>
      <w:r>
        <w:rPr>
          <w:spacing w:val="-6"/>
          <w:sz w:val="18"/>
        </w:rPr>
        <w:t> </w:t>
      </w:r>
      <w:r>
        <w:rPr>
          <w:sz w:val="18"/>
        </w:rPr>
        <w:t>2037</w:t>
      </w:r>
    </w:p>
    <w:p>
      <w:pPr>
        <w:pStyle w:val="ListParagraph"/>
        <w:numPr>
          <w:ilvl w:val="0"/>
          <w:numId w:val="18"/>
        </w:numPr>
        <w:tabs>
          <w:tab w:pos="642" w:val="left" w:leader="none"/>
        </w:tabs>
        <w:spacing w:line="217" w:lineRule="exact" w:before="0" w:after="0"/>
        <w:ind w:left="641" w:right="0" w:hanging="342"/>
        <w:jc w:val="left"/>
        <w:rPr>
          <w:sz w:val="18"/>
        </w:rPr>
      </w:pPr>
      <w:r>
        <w:rPr>
          <w:sz w:val="18"/>
        </w:rPr>
        <w:t>close the gap in life outcomes for Aboriginal and Torres Strait Islander children and</w:t>
      </w:r>
      <w:r>
        <w:rPr>
          <w:spacing w:val="-18"/>
          <w:sz w:val="18"/>
        </w:rPr>
        <w:t> </w:t>
      </w:r>
      <w:r>
        <w:rPr>
          <w:sz w:val="18"/>
        </w:rPr>
        <w:t>families.</w:t>
      </w:r>
    </w:p>
    <w:p>
      <w:pPr>
        <w:pStyle w:val="BodyText"/>
        <w:spacing w:before="7"/>
        <w:rPr>
          <w:sz w:val="21"/>
        </w:rPr>
      </w:pPr>
    </w:p>
    <w:p>
      <w:pPr>
        <w:pStyle w:val="BodyText"/>
        <w:spacing w:line="264" w:lineRule="auto"/>
        <w:ind w:left="300" w:right="996"/>
      </w:pPr>
      <w:r>
        <w:rPr/>
        <w:t>Across Queensland, </w:t>
      </w:r>
      <w:r>
        <w:rPr>
          <w:i/>
        </w:rPr>
        <w:t>Our Way </w:t>
      </w:r>
      <w:r>
        <w:rPr/>
        <w:t>is being delivered via a whole-of-system and partnership approach with Family Matters Queensland, Queensland First Children and Families Board and Queensland Aboriginal and Torres Strait Islander Child Protection Peak (QATSICPP). As stated by the Queensland Government:</w:t>
      </w:r>
    </w:p>
    <w:p>
      <w:pPr>
        <w:pStyle w:val="BodyText"/>
        <w:spacing w:line="264" w:lineRule="auto"/>
        <w:ind w:left="300" w:right="1165"/>
        <w:rPr>
          <w:sz w:val="12"/>
        </w:rPr>
      </w:pPr>
      <w:r>
        <w:rPr>
          <w:color w:val="85BB24"/>
        </w:rPr>
        <w:t>“(</w:t>
      </w:r>
      <w:r>
        <w:rPr>
          <w:i/>
          <w:color w:val="85BB24"/>
        </w:rPr>
        <w:t>Our Way) </w:t>
      </w:r>
      <w:r>
        <w:rPr>
          <w:color w:val="85BB24"/>
        </w:rPr>
        <w:t>represents a fundamental shift in how child protection, family support and other services work with – and - for, Queensland’s Aboriginal and Torres Strait Islander children and families”.</w:t>
      </w:r>
      <w:r>
        <w:rPr>
          <w:color w:val="85BB24"/>
          <w:position w:val="6"/>
          <w:sz w:val="12"/>
        </w:rPr>
        <w:t>5</w:t>
      </w:r>
    </w:p>
    <w:p>
      <w:pPr>
        <w:pStyle w:val="BodyText"/>
        <w:spacing w:before="166"/>
        <w:ind w:left="300"/>
      </w:pPr>
      <w:r>
        <w:rPr>
          <w:i/>
        </w:rPr>
        <w:t>Our Way </w:t>
      </w:r>
      <w:r>
        <w:rPr/>
        <w:t>is built on four key areas (the Family Matters Building Blocks), to realise its vision:</w:t>
      </w:r>
    </w:p>
    <w:p>
      <w:pPr>
        <w:pStyle w:val="ListParagraph"/>
        <w:numPr>
          <w:ilvl w:val="0"/>
          <w:numId w:val="19"/>
        </w:numPr>
        <w:tabs>
          <w:tab w:pos="660" w:val="left" w:leader="none"/>
          <w:tab w:pos="661" w:val="left" w:leader="none"/>
        </w:tabs>
        <w:spacing w:line="264" w:lineRule="auto" w:before="191" w:after="0"/>
        <w:ind w:left="660" w:right="1027" w:hanging="360"/>
        <w:jc w:val="left"/>
        <w:rPr>
          <w:sz w:val="18"/>
        </w:rPr>
      </w:pPr>
      <w:r>
        <w:rPr>
          <w:sz w:val="18"/>
        </w:rPr>
        <w:t>All families enjoy access to quality, culturally safe universal and targeted services necessary for Aboriginal and Torres Strait Islander children to</w:t>
      </w:r>
      <w:r>
        <w:rPr>
          <w:spacing w:val="-7"/>
          <w:sz w:val="18"/>
        </w:rPr>
        <w:t> </w:t>
      </w:r>
      <w:r>
        <w:rPr>
          <w:sz w:val="18"/>
        </w:rPr>
        <w:t>thrive.</w:t>
      </w:r>
    </w:p>
    <w:p>
      <w:pPr>
        <w:pStyle w:val="ListParagraph"/>
        <w:numPr>
          <w:ilvl w:val="0"/>
          <w:numId w:val="19"/>
        </w:numPr>
        <w:tabs>
          <w:tab w:pos="660" w:val="left" w:leader="none"/>
          <w:tab w:pos="661" w:val="left" w:leader="none"/>
        </w:tabs>
        <w:spacing w:line="264" w:lineRule="auto" w:before="0" w:after="0"/>
        <w:ind w:left="660" w:right="843" w:hanging="360"/>
        <w:jc w:val="left"/>
        <w:rPr>
          <w:sz w:val="18"/>
        </w:rPr>
      </w:pPr>
      <w:r>
        <w:rPr>
          <w:sz w:val="18"/>
        </w:rPr>
        <w:t>Aboriginal and Torres Strait Islander peoples and organisations participate in and have control over decisions that affect their</w:t>
      </w:r>
      <w:r>
        <w:rPr>
          <w:spacing w:val="-6"/>
          <w:sz w:val="18"/>
        </w:rPr>
        <w:t> </w:t>
      </w:r>
      <w:r>
        <w:rPr>
          <w:sz w:val="18"/>
        </w:rPr>
        <w:t>children.</w:t>
      </w:r>
    </w:p>
    <w:p>
      <w:pPr>
        <w:pStyle w:val="ListParagraph"/>
        <w:numPr>
          <w:ilvl w:val="0"/>
          <w:numId w:val="19"/>
        </w:numPr>
        <w:tabs>
          <w:tab w:pos="660" w:val="left" w:leader="none"/>
          <w:tab w:pos="661" w:val="left" w:leader="none"/>
        </w:tabs>
        <w:spacing w:line="217" w:lineRule="exact" w:before="0" w:after="0"/>
        <w:ind w:left="660" w:right="0" w:hanging="361"/>
        <w:jc w:val="left"/>
        <w:rPr>
          <w:sz w:val="18"/>
        </w:rPr>
      </w:pPr>
      <w:r>
        <w:rPr>
          <w:sz w:val="18"/>
        </w:rPr>
        <w:t>Law, policy and practice in child and family welfare are culturally safe and</w:t>
      </w:r>
      <w:r>
        <w:rPr>
          <w:spacing w:val="-20"/>
          <w:sz w:val="18"/>
        </w:rPr>
        <w:t> </w:t>
      </w:r>
      <w:r>
        <w:rPr>
          <w:sz w:val="18"/>
        </w:rPr>
        <w:t>responsive.</w:t>
      </w:r>
    </w:p>
    <w:p>
      <w:pPr>
        <w:pStyle w:val="ListParagraph"/>
        <w:numPr>
          <w:ilvl w:val="0"/>
          <w:numId w:val="19"/>
        </w:numPr>
        <w:tabs>
          <w:tab w:pos="660" w:val="left" w:leader="none"/>
          <w:tab w:pos="661" w:val="left" w:leader="none"/>
        </w:tabs>
        <w:spacing w:line="264" w:lineRule="auto" w:before="21" w:after="0"/>
        <w:ind w:left="660" w:right="815" w:hanging="360"/>
        <w:jc w:val="left"/>
        <w:rPr>
          <w:sz w:val="18"/>
        </w:rPr>
      </w:pPr>
      <w:r>
        <w:rPr>
          <w:sz w:val="18"/>
        </w:rPr>
        <w:t>Governments and community services are accountable to Aboriginal and Torres Strait Islander peoples.</w:t>
      </w:r>
    </w:p>
    <w:p>
      <w:pPr>
        <w:pStyle w:val="BodyText"/>
        <w:spacing w:line="264" w:lineRule="auto" w:before="169"/>
        <w:ind w:left="300" w:right="790"/>
      </w:pPr>
      <w:r>
        <w:rPr/>
        <w:t>The Queensland Government has also signed the Family Matters national campaign’s Statement of Commitment. The following </w:t>
      </w:r>
      <w:r>
        <w:rPr>
          <w:b/>
        </w:rPr>
        <w:t>six principles </w:t>
      </w:r>
      <w:r>
        <w:rPr/>
        <w:t>will underpin and guide the implementation of </w:t>
      </w:r>
      <w:r>
        <w:rPr>
          <w:i/>
        </w:rPr>
        <w:t>Our </w:t>
      </w:r>
      <w:r>
        <w:rPr>
          <w:i/>
        </w:rPr>
        <w:t>Way</w:t>
      </w:r>
      <w:r>
        <w:rPr/>
        <w:t>:</w:t>
      </w:r>
    </w:p>
    <w:p>
      <w:pPr>
        <w:pStyle w:val="ListParagraph"/>
        <w:numPr>
          <w:ilvl w:val="0"/>
          <w:numId w:val="20"/>
        </w:numPr>
        <w:tabs>
          <w:tab w:pos="661" w:val="left" w:leader="none"/>
        </w:tabs>
        <w:spacing w:line="264" w:lineRule="auto" w:before="169" w:after="0"/>
        <w:ind w:left="660" w:right="1107" w:hanging="360"/>
        <w:jc w:val="both"/>
        <w:rPr>
          <w:sz w:val="18"/>
        </w:rPr>
      </w:pPr>
      <w:r>
        <w:rPr>
          <w:b/>
          <w:sz w:val="18"/>
        </w:rPr>
        <w:t>Applying a child focussed approach</w:t>
      </w:r>
      <w:r>
        <w:rPr>
          <w:sz w:val="18"/>
        </w:rPr>
        <w:t>: In recognising that all actions concerning children, their best interests should be the paramount consideration and that ensuring their safety is essential.</w:t>
      </w:r>
    </w:p>
    <w:p>
      <w:pPr>
        <w:pStyle w:val="Heading4"/>
        <w:numPr>
          <w:ilvl w:val="0"/>
          <w:numId w:val="20"/>
        </w:numPr>
        <w:tabs>
          <w:tab w:pos="661" w:val="left" w:leader="none"/>
        </w:tabs>
        <w:spacing w:line="264" w:lineRule="auto" w:before="0" w:after="0"/>
        <w:ind w:left="660" w:right="796" w:hanging="360"/>
        <w:jc w:val="both"/>
        <w:rPr>
          <w:b w:val="0"/>
        </w:rPr>
      </w:pPr>
      <w:r>
        <w:rPr/>
        <w:t>Ensuring that Aboriginal and Torres Strait Islander peoples and organisations participate in and have control over decisions that affect their children</w:t>
      </w:r>
      <w:r>
        <w:rPr>
          <w:b w:val="0"/>
        </w:rPr>
        <w:t>: Aboriginal</w:t>
      </w:r>
      <w:r>
        <w:rPr>
          <w:b w:val="0"/>
          <w:spacing w:val="-31"/>
        </w:rPr>
        <w:t> </w:t>
      </w:r>
      <w:r>
        <w:rPr>
          <w:b w:val="0"/>
        </w:rPr>
        <w:t>and</w:t>
      </w:r>
    </w:p>
    <w:p>
      <w:pPr>
        <w:pStyle w:val="BodyText"/>
        <w:rPr>
          <w:sz w:val="20"/>
        </w:rPr>
      </w:pPr>
    </w:p>
    <w:p>
      <w:pPr>
        <w:pStyle w:val="BodyText"/>
        <w:spacing w:before="6"/>
        <w:rPr>
          <w:sz w:val="11"/>
        </w:rPr>
      </w:pPr>
      <w:r>
        <w:rPr/>
        <w:pict>
          <v:shape style="position:absolute;margin-left:72.024002pt;margin-top:9.215440pt;width:144.050pt;height:.1pt;mso-position-horizontal-relative:page;mso-position-vertical-relative:paragraph;z-index:-251567104;mso-wrap-distance-left:0;mso-wrap-distance-right:0" coordorigin="1440,184" coordsize="2881,0" path="m1440,184l4321,184e" filled="false" stroked="true" strokeweight=".47998pt" strokecolor="#000000">
            <v:path arrowok="t"/>
            <v:stroke dashstyle="solid"/>
            <w10:wrap type="topAndBottom"/>
          </v:shape>
        </w:pict>
      </w:r>
    </w:p>
    <w:p>
      <w:pPr>
        <w:pStyle w:val="BodyText"/>
        <w:spacing w:before="10"/>
        <w:rPr>
          <w:sz w:val="10"/>
        </w:rPr>
      </w:pPr>
    </w:p>
    <w:p>
      <w:pPr>
        <w:spacing w:before="100"/>
        <w:ind w:left="300" w:right="909" w:firstLine="0"/>
        <w:jc w:val="left"/>
        <w:rPr>
          <w:sz w:val="12"/>
        </w:rPr>
      </w:pPr>
      <w:r>
        <w:rPr>
          <w:position w:val="4"/>
          <w:sz w:val="8"/>
        </w:rPr>
        <w:t>3 </w:t>
      </w:r>
      <w:r>
        <w:rPr>
          <w:sz w:val="12"/>
        </w:rPr>
        <w:t>S Lohoar, N Butera &amp; E Kennedy, Strengths of Australian Aboriginal cultural practices in family and child rearing, Australian Institute of Family Studies, Victoria, 2014.</w:t>
      </w:r>
    </w:p>
    <w:p>
      <w:pPr>
        <w:spacing w:line="145" w:lineRule="exact" w:before="0"/>
        <w:ind w:left="300" w:right="0" w:firstLine="0"/>
        <w:jc w:val="left"/>
        <w:rPr>
          <w:sz w:val="12"/>
        </w:rPr>
      </w:pPr>
      <w:r>
        <w:rPr>
          <w:position w:val="4"/>
          <w:sz w:val="8"/>
        </w:rPr>
        <w:t>4 </w:t>
      </w:r>
      <w:r>
        <w:rPr>
          <w:sz w:val="12"/>
        </w:rPr>
        <w:t>DCYJMA (2017) </w:t>
      </w:r>
      <w:r>
        <w:rPr>
          <w:i/>
          <w:sz w:val="12"/>
        </w:rPr>
        <w:t>Our Way </w:t>
      </w:r>
      <w:r>
        <w:rPr>
          <w:sz w:val="12"/>
        </w:rPr>
        <w:t>– a generational strategy for Aboriginal and Torres Strait Islander children and families</w:t>
      </w:r>
    </w:p>
    <w:p>
      <w:pPr>
        <w:spacing w:before="1"/>
        <w:ind w:left="300" w:right="0" w:firstLine="0"/>
        <w:jc w:val="left"/>
        <w:rPr>
          <w:sz w:val="12"/>
        </w:rPr>
      </w:pPr>
      <w:r>
        <w:rPr>
          <w:position w:val="4"/>
          <w:sz w:val="8"/>
        </w:rPr>
        <w:t>5 </w:t>
      </w:r>
      <w:r>
        <w:rPr>
          <w:sz w:val="12"/>
        </w:rPr>
        <w:t>https://</w:t>
      </w:r>
      <w:hyperlink r:id="rId57">
        <w:r>
          <w:rPr>
            <w:sz w:val="12"/>
          </w:rPr>
          <w:t>www.cyjma.qld.gov.au/campaign/supporting-families/background/strategy-action-plan-aboriginal-torres-strait-islander-children-families.</w:t>
        </w:r>
      </w:hyperlink>
    </w:p>
    <w:p>
      <w:pPr>
        <w:spacing w:after="0"/>
        <w:jc w:val="left"/>
        <w:rPr>
          <w:sz w:val="12"/>
        </w:rPr>
        <w:sectPr>
          <w:headerReference w:type="default" r:id="rId55"/>
          <w:footerReference w:type="default" r:id="rId56"/>
          <w:pgSz w:w="11910" w:h="16840"/>
          <w:pgMar w:header="650" w:footer="420" w:top="1340" w:bottom="620" w:left="1140" w:right="700"/>
          <w:pgNumType w:start="19"/>
        </w:sectPr>
      </w:pPr>
    </w:p>
    <w:p>
      <w:pPr>
        <w:pStyle w:val="BodyText"/>
        <w:spacing w:line="264" w:lineRule="auto" w:before="109"/>
        <w:ind w:left="660" w:right="801"/>
      </w:pPr>
      <w:r>
        <w:rPr/>
        <w:t>Torres Strait Islander peoples having the strengths and the rights to lead change for their own children.</w:t>
      </w:r>
    </w:p>
    <w:p>
      <w:pPr>
        <w:pStyle w:val="ListParagraph"/>
        <w:numPr>
          <w:ilvl w:val="0"/>
          <w:numId w:val="20"/>
        </w:numPr>
        <w:tabs>
          <w:tab w:pos="661" w:val="left" w:leader="none"/>
        </w:tabs>
        <w:spacing w:line="264" w:lineRule="auto" w:before="0" w:after="0"/>
        <w:ind w:left="660" w:right="1175" w:hanging="360"/>
        <w:jc w:val="left"/>
        <w:rPr>
          <w:sz w:val="18"/>
        </w:rPr>
      </w:pPr>
      <w:r>
        <w:rPr>
          <w:b/>
          <w:sz w:val="18"/>
        </w:rPr>
        <w:t>Protecting Aboriginal and Torres Strait Islander children’s right to live in culture</w:t>
      </w:r>
      <w:r>
        <w:rPr>
          <w:sz w:val="18"/>
        </w:rPr>
        <w:t>: Recognising that for Aboriginal and Torres Strait Islander children, connections to family, community and culture are critical to their wellbeing and positive</w:t>
      </w:r>
      <w:r>
        <w:rPr>
          <w:spacing w:val="-18"/>
          <w:sz w:val="18"/>
        </w:rPr>
        <w:t> </w:t>
      </w:r>
      <w:r>
        <w:rPr>
          <w:sz w:val="18"/>
        </w:rPr>
        <w:t>self-identity.</w:t>
      </w:r>
    </w:p>
    <w:p>
      <w:pPr>
        <w:pStyle w:val="ListParagraph"/>
        <w:numPr>
          <w:ilvl w:val="0"/>
          <w:numId w:val="20"/>
        </w:numPr>
        <w:tabs>
          <w:tab w:pos="661" w:val="left" w:leader="none"/>
        </w:tabs>
        <w:spacing w:line="264" w:lineRule="auto" w:before="0" w:after="0"/>
        <w:ind w:left="660" w:right="812" w:hanging="360"/>
        <w:jc w:val="left"/>
        <w:rPr>
          <w:sz w:val="18"/>
        </w:rPr>
      </w:pPr>
      <w:r>
        <w:rPr>
          <w:b/>
          <w:sz w:val="18"/>
        </w:rPr>
        <w:t>Pursuing evidence-based responses</w:t>
      </w:r>
      <w:r>
        <w:rPr>
          <w:sz w:val="18"/>
        </w:rPr>
        <w:t>: Efforts to address the issue of over-representation of Aboriginal and Torres Strait Islander children in child protection systems should be based on evidence of what works and include the knowledge, wisdom and experiences of Aboriginal and Torres Strait Islander</w:t>
      </w:r>
      <w:r>
        <w:rPr>
          <w:spacing w:val="-3"/>
          <w:sz w:val="18"/>
        </w:rPr>
        <w:t> </w:t>
      </w:r>
      <w:r>
        <w:rPr>
          <w:sz w:val="18"/>
        </w:rPr>
        <w:t>peoples.</w:t>
      </w:r>
    </w:p>
    <w:p>
      <w:pPr>
        <w:pStyle w:val="ListParagraph"/>
        <w:numPr>
          <w:ilvl w:val="0"/>
          <w:numId w:val="20"/>
        </w:numPr>
        <w:tabs>
          <w:tab w:pos="661" w:val="left" w:leader="none"/>
        </w:tabs>
        <w:spacing w:line="264" w:lineRule="auto" w:before="0" w:after="0"/>
        <w:ind w:left="660" w:right="1288" w:hanging="360"/>
        <w:jc w:val="left"/>
        <w:rPr>
          <w:sz w:val="18"/>
        </w:rPr>
      </w:pPr>
      <w:r>
        <w:rPr>
          <w:b/>
          <w:sz w:val="18"/>
        </w:rPr>
        <w:t>Supporting, healing and strengthening families</w:t>
      </w:r>
      <w:r>
        <w:rPr>
          <w:sz w:val="18"/>
        </w:rPr>
        <w:t>: Acknowledging the unique need for healing supports to address the impacts of intergenerational trauma on</w:t>
      </w:r>
      <w:r>
        <w:rPr>
          <w:spacing w:val="-12"/>
          <w:sz w:val="18"/>
        </w:rPr>
        <w:t> </w:t>
      </w:r>
      <w:r>
        <w:rPr>
          <w:sz w:val="18"/>
        </w:rPr>
        <w:t>families.</w:t>
      </w:r>
    </w:p>
    <w:p>
      <w:pPr>
        <w:pStyle w:val="ListParagraph"/>
        <w:numPr>
          <w:ilvl w:val="0"/>
          <w:numId w:val="20"/>
        </w:numPr>
        <w:tabs>
          <w:tab w:pos="661" w:val="left" w:leader="none"/>
        </w:tabs>
        <w:spacing w:line="264" w:lineRule="auto" w:before="0" w:after="0"/>
        <w:ind w:left="660" w:right="794" w:hanging="360"/>
        <w:jc w:val="left"/>
        <w:rPr>
          <w:sz w:val="18"/>
        </w:rPr>
      </w:pPr>
      <w:r>
        <w:rPr>
          <w:b/>
          <w:sz w:val="18"/>
        </w:rPr>
        <w:t>Changing systemic racism and inequities: </w:t>
      </w:r>
      <w:r>
        <w:rPr>
          <w:sz w:val="18"/>
        </w:rPr>
        <w:t>Acknowledge that the current challenges facing Aboriginal and Torres Strait Islander children and families result from a history of injustice and racism that remains embedded within the laws, policies and practices of our society, systems and</w:t>
      </w:r>
      <w:r>
        <w:rPr>
          <w:spacing w:val="-2"/>
          <w:sz w:val="18"/>
        </w:rPr>
        <w:t> </w:t>
      </w:r>
      <w:r>
        <w:rPr>
          <w:sz w:val="18"/>
        </w:rPr>
        <w:t>institutions.</w:t>
      </w:r>
    </w:p>
    <w:p>
      <w:pPr>
        <w:pStyle w:val="BodyText"/>
        <w:spacing w:before="5"/>
      </w:pPr>
    </w:p>
    <w:p>
      <w:pPr>
        <w:pStyle w:val="ListParagraph"/>
        <w:numPr>
          <w:ilvl w:val="1"/>
          <w:numId w:val="17"/>
        </w:numPr>
        <w:tabs>
          <w:tab w:pos="1094" w:val="left" w:leader="none"/>
          <w:tab w:pos="1095" w:val="left" w:leader="none"/>
        </w:tabs>
        <w:spacing w:line="240" w:lineRule="auto" w:before="0" w:after="0"/>
        <w:ind w:left="1094" w:right="0" w:hanging="795"/>
        <w:jc w:val="left"/>
        <w:rPr>
          <w:b/>
          <w:sz w:val="22"/>
        </w:rPr>
      </w:pPr>
      <w:bookmarkStart w:name="_bookmark16" w:id="19"/>
      <w:bookmarkEnd w:id="19"/>
      <w:r>
        <w:rPr/>
      </w:r>
      <w:bookmarkStart w:name="_bookmark16" w:id="20"/>
      <w:bookmarkEnd w:id="20"/>
      <w:r>
        <w:rPr>
          <w:b/>
          <w:i/>
          <w:color w:val="61B5E4"/>
          <w:sz w:val="22"/>
        </w:rPr>
        <w:t>Ch</w:t>
      </w:r>
      <w:r>
        <w:rPr>
          <w:b/>
          <w:i/>
          <w:color w:val="61B5E4"/>
          <w:sz w:val="22"/>
        </w:rPr>
        <w:t>anging Tracks </w:t>
      </w:r>
      <w:r>
        <w:rPr>
          <w:b/>
          <w:color w:val="61B5E4"/>
          <w:sz w:val="22"/>
        </w:rPr>
        <w:t>action</w:t>
      </w:r>
      <w:r>
        <w:rPr>
          <w:b/>
          <w:color w:val="61B5E4"/>
          <w:spacing w:val="-3"/>
          <w:sz w:val="22"/>
        </w:rPr>
        <w:t> </w:t>
      </w:r>
      <w:r>
        <w:rPr>
          <w:b/>
          <w:color w:val="61B5E4"/>
          <w:sz w:val="22"/>
        </w:rPr>
        <w:t>plans</w:t>
      </w:r>
    </w:p>
    <w:p>
      <w:pPr>
        <w:pStyle w:val="ListParagraph"/>
        <w:numPr>
          <w:ilvl w:val="2"/>
          <w:numId w:val="17"/>
        </w:numPr>
        <w:tabs>
          <w:tab w:pos="1320" w:val="left" w:leader="none"/>
          <w:tab w:pos="1321" w:val="left" w:leader="none"/>
        </w:tabs>
        <w:spacing w:line="240" w:lineRule="auto" w:before="20" w:after="0"/>
        <w:ind w:left="1320" w:right="0" w:hanging="1021"/>
        <w:jc w:val="left"/>
        <w:rPr>
          <w:b/>
          <w:sz w:val="18"/>
        </w:rPr>
      </w:pPr>
      <w:bookmarkStart w:name="_bookmark17" w:id="21"/>
      <w:bookmarkEnd w:id="21"/>
      <w:r>
        <w:rPr/>
      </w:r>
      <w:bookmarkStart w:name="_bookmark17" w:id="22"/>
      <w:bookmarkEnd w:id="22"/>
      <w:r>
        <w:rPr>
          <w:b/>
          <w:sz w:val="18"/>
        </w:rPr>
        <w:t>I</w:t>
      </w:r>
      <w:r>
        <w:rPr>
          <w:b/>
          <w:sz w:val="18"/>
        </w:rPr>
        <w:t>mplementation of the </w:t>
      </w:r>
      <w:r>
        <w:rPr>
          <w:b/>
          <w:i/>
          <w:sz w:val="18"/>
        </w:rPr>
        <w:t>Changing Tracks </w:t>
      </w:r>
      <w:r>
        <w:rPr>
          <w:b/>
          <w:sz w:val="18"/>
        </w:rPr>
        <w:t>action</w:t>
      </w:r>
      <w:r>
        <w:rPr>
          <w:b/>
          <w:spacing w:val="-2"/>
          <w:sz w:val="18"/>
        </w:rPr>
        <w:t> </w:t>
      </w:r>
      <w:r>
        <w:rPr>
          <w:b/>
          <w:sz w:val="18"/>
        </w:rPr>
        <w:t>plans</w:t>
      </w:r>
    </w:p>
    <w:p>
      <w:pPr>
        <w:pStyle w:val="BodyText"/>
        <w:spacing w:line="264" w:lineRule="auto" w:before="22"/>
        <w:ind w:left="300" w:right="796"/>
      </w:pPr>
      <w:r>
        <w:rPr/>
        <w:t>As articulated i</w:t>
      </w:r>
      <w:hyperlink w:history="true" w:anchor="_bookmark18">
        <w:r>
          <w:rPr/>
          <w:t>n Figure 2.1</w:t>
        </w:r>
      </w:hyperlink>
      <w:r>
        <w:rPr/>
        <w:t>, </w:t>
      </w:r>
      <w:r>
        <w:rPr>
          <w:i/>
        </w:rPr>
        <w:t>Our Way </w:t>
      </w:r>
      <w:r>
        <w:rPr/>
        <w:t>is being delivered through a series of seven rolling action plans. This approach will allow flexibility where future actions are based on the outcomes achieved from prior action plans and can address new challenges and priorities. The action plans span across three phases: </w:t>
      </w:r>
      <w:r>
        <w:rPr>
          <w:i/>
        </w:rPr>
        <w:t>Changing Tracks </w:t>
      </w:r>
      <w:r>
        <w:rPr/>
        <w:t>(2017-2022), </w:t>
      </w:r>
      <w:r>
        <w:rPr>
          <w:i/>
        </w:rPr>
        <w:t>Breaking Cycles </w:t>
      </w:r>
      <w:r>
        <w:rPr/>
        <w:t>(2023-2031) and </w:t>
      </w:r>
      <w:r>
        <w:rPr>
          <w:i/>
        </w:rPr>
        <w:t>Hitting </w:t>
      </w:r>
      <w:r>
        <w:rPr>
          <w:i/>
        </w:rPr>
        <w:t>Targets </w:t>
      </w:r>
      <w:r>
        <w:rPr/>
        <w:t>(2032-2037) and are based on the Family Matters building blocks and principles. The development and implementation of action plans under </w:t>
      </w:r>
      <w:r>
        <w:rPr>
          <w:i/>
        </w:rPr>
        <w:t>Our Way </w:t>
      </w:r>
      <w:r>
        <w:rPr/>
        <w:t>are overseen by DCYJMA and receive oversight from the Queensland First Children and Families Board.</w:t>
      </w:r>
    </w:p>
    <w:p>
      <w:pPr>
        <w:spacing w:before="178"/>
        <w:ind w:left="1229" w:right="0" w:firstLine="0"/>
        <w:jc w:val="left"/>
        <w:rPr>
          <w:i/>
          <w:sz w:val="17"/>
        </w:rPr>
      </w:pPr>
      <w:r>
        <w:rPr/>
        <w:drawing>
          <wp:anchor distT="0" distB="0" distL="0" distR="0" allowOverlap="1" layoutInCell="1" locked="0" behindDoc="0" simplePos="0" relativeHeight="251752448">
            <wp:simplePos x="0" y="0"/>
            <wp:positionH relativeFrom="page">
              <wp:posOffset>925087</wp:posOffset>
            </wp:positionH>
            <wp:positionV relativeFrom="paragraph">
              <wp:posOffset>141842</wp:posOffset>
            </wp:positionV>
            <wp:extent cx="532618" cy="104228"/>
            <wp:effectExtent l="0" t="0" r="0" b="0"/>
            <wp:wrapNone/>
            <wp:docPr id="29" name="image37.png"/>
            <wp:cNvGraphicFramePr>
              <a:graphicFrameLocks noChangeAspect="1"/>
            </wp:cNvGraphicFramePr>
            <a:graphic>
              <a:graphicData uri="http://schemas.openxmlformats.org/drawingml/2006/picture">
                <pic:pic>
                  <pic:nvPicPr>
                    <pic:cNvPr id="30" name="image37.png"/>
                    <pic:cNvPicPr/>
                  </pic:nvPicPr>
                  <pic:blipFill>
                    <a:blip r:embed="rId58" cstate="print"/>
                    <a:stretch>
                      <a:fillRect/>
                    </a:stretch>
                  </pic:blipFill>
                  <pic:spPr>
                    <a:xfrm>
                      <a:off x="0" y="0"/>
                      <a:ext cx="532618" cy="104228"/>
                    </a:xfrm>
                    <a:prstGeom prst="rect">
                      <a:avLst/>
                    </a:prstGeom>
                  </pic:spPr>
                </pic:pic>
              </a:graphicData>
            </a:graphic>
          </wp:anchor>
        </w:drawing>
      </w:r>
      <w:bookmarkStart w:name="_bookmark18" w:id="23"/>
      <w:bookmarkEnd w:id="23"/>
      <w:r>
        <w:rPr/>
      </w:r>
      <w:r>
        <w:rPr>
          <w:color w:val="75787A"/>
          <w:sz w:val="17"/>
        </w:rPr>
        <w:t>Implementation framework for </w:t>
      </w:r>
      <w:r>
        <w:rPr>
          <w:i/>
          <w:color w:val="75787A"/>
          <w:sz w:val="17"/>
        </w:rPr>
        <w:t>Our Way</w:t>
      </w:r>
    </w:p>
    <w:p>
      <w:pPr>
        <w:pStyle w:val="BodyText"/>
        <w:spacing w:before="3"/>
        <w:rPr>
          <w:i/>
          <w:sz w:val="11"/>
        </w:rPr>
      </w:pPr>
    </w:p>
    <w:p>
      <w:pPr>
        <w:spacing w:after="0"/>
        <w:rPr>
          <w:sz w:val="11"/>
        </w:rPr>
        <w:sectPr>
          <w:pgSz w:w="11910" w:h="16840"/>
          <w:pgMar w:header="650" w:footer="420" w:top="1340" w:bottom="620" w:left="1140" w:right="700"/>
        </w:sectPr>
      </w:pPr>
    </w:p>
    <w:p>
      <w:pPr>
        <w:pStyle w:val="Heading4"/>
        <w:spacing w:before="100"/>
        <w:ind w:left="443"/>
      </w:pPr>
      <w:r>
        <w:rPr>
          <w:color w:val="6FAC46"/>
        </w:rPr>
        <w:t>ACTION PLANS:</w:t>
      </w:r>
    </w:p>
    <w:p>
      <w:pPr>
        <w:pStyle w:val="BodyText"/>
        <w:spacing w:before="6"/>
        <w:rPr>
          <w:b/>
          <w:sz w:val="16"/>
        </w:rPr>
      </w:pPr>
    </w:p>
    <w:p>
      <w:pPr>
        <w:spacing w:line="237" w:lineRule="auto" w:before="0"/>
        <w:ind w:left="548" w:right="16" w:firstLine="0"/>
        <w:jc w:val="left"/>
        <w:rPr>
          <w:sz w:val="18"/>
        </w:rPr>
      </w:pPr>
      <w:r>
        <w:rPr/>
        <w:pict>
          <v:group style="position:absolute;margin-left:76.745003pt;margin-top:-4.827419pt;width:320.350pt;height:172.4pt;mso-position-horizontal-relative:page;mso-position-vertical-relative:paragraph;z-index:-258174976" coordorigin="1535,-97" coordsize="6407,3448">
            <v:shape style="position:absolute;left:1544;top:963;width:6397;height:2388" coordorigin="1545,964" coordsize="6397,2388" path="m2798,1689l2796,1679,2790,1670,2785,1665,2772,1652,2694,1576,2685,1569,2675,1567,2664,1569,2656,1576,2559,1670,2553,1679,2551,1689,2551,1690,2553,1700,2559,1708,2568,1716,2578,1718,2588,1716,2597,1708,2656,1652,2643,1692,2627,1733,2606,1771,2579,1805,2521,1849,2455,1876,2386,1885,2317,1876,2252,1849,2195,1805,2150,1748,2124,1683,2115,1614,2124,1545,2150,1480,2195,1421,2252,1378,2317,1352,2386,1343,2455,1352,2521,1378,2579,1421,2588,1427,2598,1429,2609,1427,2617,1421,2623,1412,2625,1402,2623,1392,2617,1383,2567,1343,2559,1336,2493,1305,2423,1290,2351,1290,2282,1305,2216,1336,2157,1383,2110,1442,2079,1508,2063,1577,2063,1649,2079,1719,2110,1784,2157,1843,2216,1890,2282,1921,2351,1937,2423,1937,2493,1921,2559,1890,2565,1885,2617,1843,2650,1804,2677,1761,2696,1714,2709,1665,2752,1708,2761,1716,2771,1718,2782,1716,2790,1708,2796,1700,2798,1690,2798,1689m3037,1614l3033,1538,3020,1465,2999,1394,2984,1357,2984,1614,2979,1689,2966,1761,2944,1829,2914,1894,2877,1954,2833,2009,2783,2059,2728,2102,2667,2139,2602,2169,2533,2191,2461,2205,2386,2209,2311,2205,2239,2191,2171,2169,2106,2139,2046,2102,1991,2059,1941,2009,1897,1954,1860,1894,1831,1829,1809,1761,1795,1689,1790,1614,1795,1539,1809,1467,1831,1398,1860,1333,1897,1273,1941,1218,1991,1168,2046,1124,2106,1087,2171,1057,2239,1035,2311,1022,2386,1017,2461,1022,2533,1035,2602,1057,2667,1087,2728,1124,2783,1168,2833,1218,2877,1273,2914,1333,2944,1398,2966,1467,2979,1539,2984,1614,2984,1357,2971,1328,2936,1265,2895,1207,2847,1154,2794,1106,2736,1065,2673,1030,2643,1017,2606,1001,2536,981,2462,968,2386,964,2310,968,2237,981,2167,1001,2100,1030,2037,1065,1979,1106,1926,1154,1878,1207,1836,1265,1801,1328,1773,1394,1752,1465,1739,1538,1734,1614,1739,1690,1752,1763,1773,1833,1801,1900,1836,1963,1878,2021,1926,2074,1979,2122,2037,2164,2100,2199,2167,2227,2237,2248,2310,2261,2386,2265,2462,2261,2536,2248,2606,2227,2648,2209,2673,2199,2736,2164,2794,2122,2847,2074,2895,2021,2936,1963,2971,1900,2999,1833,3020,1763,3033,1690,3037,1614m4905,1689l4903,1679,4897,1670,4892,1665,4879,1652,4800,1576,4792,1569,4781,1567,4771,1569,4762,1576,4666,1670,4660,1679,4658,1689,4658,1690,4660,1700,4666,1708,4674,1716,4685,1718,4695,1716,4704,1708,4762,1652,4750,1692,4734,1733,4713,1771,4686,1805,4628,1849,4562,1876,4493,1885,4424,1876,4359,1849,4302,1805,4257,1748,4230,1683,4221,1614,4230,1545,4257,1480,4302,1421,4359,1378,4424,1352,4493,1343,4562,1352,4628,1378,4686,1421,4695,1427,4705,1429,4715,1427,4724,1421,4730,1412,4732,1402,4730,1392,4724,1383,4674,1343,4665,1336,4599,1305,4529,1290,4458,1290,4388,1305,4322,1336,4263,1383,4217,1442,4186,1508,4170,1577,4170,1649,4186,1719,4217,1784,4263,1843,4322,1890,4388,1921,4458,1937,4529,1937,4599,1921,4665,1890,4671,1885,4724,1843,4757,1804,4783,1761,4803,1714,4816,1665,4859,1708,4868,1716,4878,1718,4888,1716,4897,1708,4903,1700,4905,1690,4905,1689m5144,1614l5139,1538,5127,1465,5106,1394,5090,1357,5090,1614,5086,1689,5072,1761,5050,1829,5020,1894,4983,1954,4940,2009,4890,2059,4834,2102,4774,2139,4709,2169,4640,2191,4568,2205,4492,2209,4418,2205,4346,2191,4277,2169,4213,2139,4153,2102,4097,2059,4047,2009,4004,1954,3967,1894,3937,1829,3915,1761,3902,1689,3897,1614,3902,1539,3915,1467,3937,1398,3967,1333,4004,1273,4047,1218,4097,1168,4153,1124,4213,1087,4277,1057,4346,1035,4418,1022,4492,1017,4568,1022,4640,1035,4709,1057,4774,1087,4834,1124,4890,1168,4940,1218,4983,1273,5020,1333,5050,1398,5072,1467,5086,1539,5090,1614,5090,1357,5078,1328,5043,1265,5001,1207,4954,1154,4901,1106,4842,1065,4780,1030,4750,1017,4713,1001,4642,981,4569,968,4492,964,4417,968,4343,981,4273,1001,4206,1030,4144,1065,4085,1106,4032,1154,3984,1207,3943,1265,3907,1328,3879,1394,3858,1465,3845,1538,3841,1614,3845,1690,3858,1763,3879,1833,3907,1900,3943,1963,3984,2021,4032,2074,4085,2122,4144,2164,4206,2199,4273,2227,4343,2248,4417,2261,4492,2265,4569,2261,4642,2248,4713,2227,4755,2209,4780,2199,4842,2164,4901,2122,4954,2074,5001,2021,5043,1963,5078,1900,5106,1833,5127,1763,5139,1690,5144,1614m7126,1689l7124,1679,7119,1670,7113,1665,7100,1652,7022,1576,7013,1569,7002,1567,6992,1569,6983,1576,6886,1670,6881,1679,6879,1689,6879,1690,6881,1700,6886,1708,6895,1716,6906,1718,6916,1716,6925,1708,6983,1652,6971,1692,6955,1733,6934,1771,6907,1805,6848,1849,6783,1876,6713,1885,6644,1876,6579,1849,6522,1805,6477,1748,6451,1683,6442,1614,6451,1545,6477,1480,6522,1421,6579,1378,6644,1352,6713,1343,6783,1352,6848,1378,6907,1421,6916,1427,6926,1429,6936,1427,6945,1421,6951,1412,6953,1402,6951,1392,6945,1383,6894,1343,6886,1336,6820,1305,6750,1290,6679,1290,6609,1305,6543,1336,6484,1383,6437,1442,6406,1508,6390,1577,6390,1649,6406,1719,6437,1784,6484,1843,6543,1890,6609,1921,6679,1937,6750,1937,6820,1921,6886,1890,6892,1885,6945,1843,6978,1804,7004,1761,7024,1714,7037,1665,7080,1708,7089,1716,7099,1718,7110,1716,7119,1708,7124,1700,7126,1690,7126,1689m7366,1614l7361,1538,7348,1465,7328,1394,7312,1358,7312,1614,7308,1689,7294,1761,7272,1829,7242,1894,7205,1954,7161,2009,7111,2059,7056,2102,6995,2139,6930,2169,6861,2191,6788,2205,6713,2209,6638,2205,6566,2191,6498,2169,6433,2139,6373,2102,6317,2059,6267,2009,6224,1954,6187,1894,6157,1829,6135,1761,6121,1689,6117,1614,6121,1539,6135,1467,6157,1398,6187,1333,6224,1273,6267,1218,6317,1168,6373,1124,6433,1087,6498,1057,6566,1035,6638,1022,6713,1017,6788,1022,6861,1035,6930,1057,6995,1087,7056,1124,7111,1168,7161,1218,7205,1273,7242,1333,7272,1398,7294,1467,7308,1539,7312,1614,7312,1358,7300,1328,7264,1265,7223,1207,7175,1154,7122,1106,7064,1065,7001,1030,6971,1017,6934,1001,6863,981,6789,968,6713,964,6637,968,6564,981,6493,1001,6427,1030,6364,1065,6305,1106,6252,1154,6204,1207,6162,1265,6127,1328,6099,1394,6078,1465,6065,1538,6060,1614,6065,1690,6078,1763,6099,1833,6127,1900,6162,1963,6204,2021,6252,2074,6305,2122,6364,2164,6427,2199,6493,2227,6564,2248,6637,2261,6713,2265,6789,2261,6863,2248,6934,2227,6976,2209,7001,2199,7064,2164,7122,2122,7175,2074,7223,2021,7264,1963,7300,1900,7328,1833,7348,1763,7361,1690,7366,1614m7941,3169l7759,2988,1545,2988,1545,3351,7759,3351,7941,3169e" filled="true" fillcolor="#6fac46" stroked="false">
              <v:path arrowok="t"/>
              <v:fill type="solid"/>
            </v:shape>
            <v:rect style="position:absolute;left:1544;top:-87;width:6212;height:2505" filled="false" stroked="true" strokeweight=".997231pt" strokecolor="#2e528f">
              <v:stroke dashstyle="shortdash"/>
            </v:rect>
            <v:shape style="position:absolute;left:2388;top:2266;width:2105;height:704" coordorigin="2388,2266" coordsize="2105,704" path="m2388,2266l2388,2970m4492,2266l4492,2970e" filled="false" stroked="true" strokeweight="2.249411pt" strokecolor="#6fac46">
              <v:path arrowok="t"/>
              <v:stroke dashstyle="solid"/>
            </v:shape>
            <v:line style="position:absolute" from="6714,2266" to="6714,2970" stroked="true" strokeweight="2.249411pt" strokecolor="#6fac46">
              <v:stroke dashstyle="solid"/>
            </v:line>
            <w10:wrap type="none"/>
          </v:group>
        </w:pict>
      </w:r>
      <w:r>
        <w:rPr>
          <w:b/>
          <w:color w:val="6FAC46"/>
          <w:sz w:val="18"/>
        </w:rPr>
        <w:t>Changing Tracks </w:t>
      </w:r>
      <w:r>
        <w:rPr>
          <w:color w:val="6FAC46"/>
          <w:sz w:val="18"/>
        </w:rPr>
        <w:t>First and second action plan</w:t>
      </w:r>
    </w:p>
    <w:p>
      <w:pPr>
        <w:pStyle w:val="BodyText"/>
        <w:spacing w:line="214" w:lineRule="exact"/>
        <w:ind w:left="548"/>
      </w:pPr>
      <w:r>
        <w:rPr>
          <w:color w:val="6FAC46"/>
        </w:rPr>
        <w:t>(2017-2022)</w:t>
      </w:r>
    </w:p>
    <w:p>
      <w:pPr>
        <w:pStyle w:val="BodyText"/>
        <w:rPr>
          <w:sz w:val="22"/>
        </w:rPr>
      </w:pPr>
      <w:r>
        <w:rPr/>
        <w:br w:type="column"/>
      </w:r>
      <w:r>
        <w:rPr>
          <w:sz w:val="22"/>
        </w:rPr>
      </w:r>
    </w:p>
    <w:p>
      <w:pPr>
        <w:pStyle w:val="BodyText"/>
        <w:spacing w:before="9"/>
        <w:rPr>
          <w:sz w:val="20"/>
        </w:rPr>
      </w:pPr>
    </w:p>
    <w:p>
      <w:pPr>
        <w:spacing w:line="237" w:lineRule="auto" w:before="0"/>
        <w:ind w:left="316" w:right="38" w:firstLine="0"/>
        <w:jc w:val="left"/>
        <w:rPr>
          <w:sz w:val="18"/>
        </w:rPr>
      </w:pPr>
      <w:r>
        <w:rPr>
          <w:b/>
          <w:color w:val="6FAC46"/>
          <w:sz w:val="18"/>
        </w:rPr>
        <w:t>Breaking Cycles </w:t>
      </w:r>
      <w:r>
        <w:rPr>
          <w:color w:val="6FAC46"/>
          <w:sz w:val="18"/>
        </w:rPr>
        <w:t>Third, fourth and fifth action plans (2023-2031)</w:t>
      </w:r>
    </w:p>
    <w:p>
      <w:pPr>
        <w:pStyle w:val="BodyText"/>
        <w:rPr>
          <w:sz w:val="22"/>
        </w:rPr>
      </w:pPr>
      <w:r>
        <w:rPr/>
        <w:br w:type="column"/>
      </w:r>
      <w:r>
        <w:rPr>
          <w:sz w:val="22"/>
        </w:rPr>
      </w:r>
    </w:p>
    <w:p>
      <w:pPr>
        <w:pStyle w:val="BodyText"/>
        <w:spacing w:before="9"/>
        <w:rPr>
          <w:sz w:val="20"/>
        </w:rPr>
      </w:pPr>
    </w:p>
    <w:p>
      <w:pPr>
        <w:spacing w:line="237" w:lineRule="auto" w:before="0"/>
        <w:ind w:left="316" w:right="3587" w:firstLine="0"/>
        <w:jc w:val="left"/>
        <w:rPr>
          <w:sz w:val="18"/>
        </w:rPr>
      </w:pPr>
      <w:r>
        <w:rPr>
          <w:b/>
          <w:color w:val="6FAC46"/>
          <w:sz w:val="18"/>
        </w:rPr>
        <w:t>Hitting Targets </w:t>
      </w:r>
      <w:r>
        <w:rPr>
          <w:color w:val="6FAC46"/>
          <w:sz w:val="18"/>
        </w:rPr>
        <w:t>Sixth and seventh action plans (2032-2037)</w:t>
      </w:r>
    </w:p>
    <w:p>
      <w:pPr>
        <w:spacing w:after="0" w:line="237" w:lineRule="auto"/>
        <w:jc w:val="left"/>
        <w:rPr>
          <w:sz w:val="18"/>
        </w:rPr>
        <w:sectPr>
          <w:type w:val="continuous"/>
          <w:pgSz w:w="11910" w:h="16840"/>
          <w:pgMar w:top="700" w:bottom="280" w:left="1140" w:right="700"/>
          <w:cols w:num="3" w:equalWidth="0">
            <w:col w:w="2260" w:space="118"/>
            <w:col w:w="1963" w:space="182"/>
            <w:col w:w="554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5"/>
        <w:ind w:left="1444" w:right="0" w:firstLine="0"/>
        <w:jc w:val="left"/>
        <w:rPr>
          <w:b/>
          <w:sz w:val="22"/>
        </w:rPr>
      </w:pPr>
      <w:r>
        <w:rPr/>
        <w:pict>
          <v:group style="position:absolute;margin-left:77.345047pt;margin-top:31.417065pt;width:320.850pt;height:19.1pt;mso-position-horizontal-relative:page;mso-position-vertical-relative:paragraph;z-index:-251565056;mso-wrap-distance-left:0;mso-wrap-distance-right:0" coordorigin="1547,628" coordsize="6417,382">
            <v:shape style="position:absolute;left:1556;top:638;width:6397;height:362" coordorigin="1557,638" coordsize="6397,362" path="m1557,638l7773,638,7953,819,7773,1000,1557,1000,1557,638xe" filled="false" stroked="true" strokeweight=".996833pt" strokecolor="#000000">
              <v:path arrowok="t"/>
              <v:stroke dashstyle="shortdash"/>
            </v:shape>
            <v:shape style="position:absolute;left:1546;top:628;width:6417;height:382" type="#_x0000_t202" filled="false" stroked="false">
              <v:textbox inset="0,0,0,0">
                <w:txbxContent>
                  <w:p>
                    <w:pPr>
                      <w:spacing w:before="70"/>
                      <w:ind w:left="1496" w:right="0" w:firstLine="0"/>
                      <w:jc w:val="left"/>
                      <w:rPr>
                        <w:sz w:val="20"/>
                      </w:rPr>
                    </w:pPr>
                    <w:r>
                      <w:rPr>
                        <w:color w:val="7E7E7E"/>
                        <w:sz w:val="20"/>
                      </w:rPr>
                      <w:t>Ongoing monitoring &amp; evaluation</w:t>
                    </w:r>
                  </w:p>
                </w:txbxContent>
              </v:textbox>
              <w10:wrap type="none"/>
            </v:shape>
            <w10:wrap type="topAndBottom"/>
          </v:group>
        </w:pict>
      </w:r>
      <w:r>
        <w:rPr>
          <w:b/>
          <w:color w:val="FFFFFF"/>
          <w:sz w:val="22"/>
        </w:rPr>
        <w:t>OUR WAY STRATEGY (2017-2037)</w:t>
      </w:r>
    </w:p>
    <w:p>
      <w:pPr>
        <w:pStyle w:val="BodyText"/>
        <w:rPr>
          <w:b/>
          <w:sz w:val="15"/>
        </w:rPr>
      </w:pPr>
    </w:p>
    <w:p>
      <w:pPr>
        <w:spacing w:line="266" w:lineRule="auto" w:before="100"/>
        <w:ind w:left="300" w:right="1165" w:firstLine="0"/>
        <w:jc w:val="left"/>
        <w:rPr>
          <w:sz w:val="18"/>
        </w:rPr>
      </w:pPr>
      <w:r>
        <w:rPr>
          <w:sz w:val="18"/>
        </w:rPr>
        <w:t>The </w:t>
      </w:r>
      <w:r>
        <w:rPr>
          <w:i/>
          <w:sz w:val="18"/>
        </w:rPr>
        <w:t>Changing Tracks </w:t>
      </w:r>
      <w:r>
        <w:rPr>
          <w:sz w:val="18"/>
        </w:rPr>
        <w:t>action plans 2017–2019 and 2020–2022 are the first two of seven action plans to guide the delivery of </w:t>
      </w:r>
      <w:r>
        <w:rPr>
          <w:i/>
          <w:sz w:val="18"/>
        </w:rPr>
        <w:t>Our Way</w:t>
      </w:r>
      <w:r>
        <w:rPr>
          <w:sz w:val="18"/>
        </w:rPr>
        <w:t>. The key priorities of </w:t>
      </w:r>
      <w:r>
        <w:rPr>
          <w:i/>
          <w:sz w:val="18"/>
        </w:rPr>
        <w:t>Changing Tracks </w:t>
      </w:r>
      <w:r>
        <w:rPr>
          <w:sz w:val="18"/>
        </w:rPr>
        <w:t>include:</w:t>
      </w:r>
    </w:p>
    <w:p>
      <w:pPr>
        <w:pStyle w:val="BodyText"/>
        <w:spacing w:before="3"/>
        <w:rPr>
          <w:sz w:val="19"/>
        </w:rPr>
      </w:pPr>
    </w:p>
    <w:p>
      <w:pPr>
        <w:pStyle w:val="ListParagraph"/>
        <w:numPr>
          <w:ilvl w:val="0"/>
          <w:numId w:val="21"/>
        </w:numPr>
        <w:tabs>
          <w:tab w:pos="661" w:val="left" w:leader="none"/>
        </w:tabs>
        <w:spacing w:line="264" w:lineRule="auto" w:before="1" w:after="0"/>
        <w:ind w:left="660" w:right="782" w:hanging="360"/>
        <w:jc w:val="both"/>
        <w:rPr>
          <w:sz w:val="18"/>
        </w:rPr>
      </w:pPr>
      <w:r>
        <w:rPr>
          <w:sz w:val="18"/>
        </w:rPr>
        <w:t>growing investment in community-controlled Aboriginal and Torres Strait Islander services and their workforce to better reflect the proportion of Aboriginal and Torres Strait Islander peoples accessing these</w:t>
      </w:r>
      <w:r>
        <w:rPr>
          <w:spacing w:val="-2"/>
          <w:sz w:val="18"/>
        </w:rPr>
        <w:t> </w:t>
      </w:r>
      <w:r>
        <w:rPr>
          <w:sz w:val="18"/>
        </w:rPr>
        <w:t>services.</w:t>
      </w:r>
    </w:p>
    <w:p>
      <w:pPr>
        <w:pStyle w:val="ListParagraph"/>
        <w:numPr>
          <w:ilvl w:val="0"/>
          <w:numId w:val="21"/>
        </w:numPr>
        <w:tabs>
          <w:tab w:pos="660" w:val="left" w:leader="none"/>
          <w:tab w:pos="661" w:val="left" w:leader="none"/>
        </w:tabs>
        <w:spacing w:line="261" w:lineRule="auto" w:before="0" w:after="0"/>
        <w:ind w:left="660" w:right="790" w:hanging="360"/>
        <w:jc w:val="left"/>
        <w:rPr>
          <w:sz w:val="18"/>
        </w:rPr>
      </w:pPr>
      <w:r>
        <w:rPr>
          <w:sz w:val="18"/>
        </w:rPr>
        <w:t>implementing delegated authority to permit one or more of the Chief Executive’s statutory functions or powers under the </w:t>
      </w:r>
      <w:r>
        <w:rPr>
          <w:i/>
          <w:sz w:val="18"/>
        </w:rPr>
        <w:t>Child Protection Act </w:t>
      </w:r>
      <w:r>
        <w:rPr>
          <w:sz w:val="18"/>
        </w:rPr>
        <w:t>to be delegated to the Chief Executive of an Aboriginal and Torres Strait Islander</w:t>
      </w:r>
      <w:r>
        <w:rPr>
          <w:spacing w:val="-4"/>
          <w:sz w:val="18"/>
        </w:rPr>
        <w:t> </w:t>
      </w:r>
      <w:r>
        <w:rPr>
          <w:sz w:val="18"/>
        </w:rPr>
        <w:t>entity.</w:t>
      </w:r>
    </w:p>
    <w:p>
      <w:pPr>
        <w:spacing w:after="0" w:line="261" w:lineRule="auto"/>
        <w:jc w:val="left"/>
        <w:rPr>
          <w:sz w:val="18"/>
        </w:rPr>
        <w:sectPr>
          <w:type w:val="continuous"/>
          <w:pgSz w:w="11910" w:h="16840"/>
          <w:pgMar w:top="700" w:bottom="280" w:left="1140" w:right="700"/>
        </w:sectPr>
      </w:pPr>
    </w:p>
    <w:p>
      <w:pPr>
        <w:pStyle w:val="ListParagraph"/>
        <w:numPr>
          <w:ilvl w:val="0"/>
          <w:numId w:val="21"/>
        </w:numPr>
        <w:tabs>
          <w:tab w:pos="660" w:val="left" w:leader="none"/>
          <w:tab w:pos="661" w:val="left" w:leader="none"/>
        </w:tabs>
        <w:spacing w:line="261" w:lineRule="auto" w:before="109" w:after="0"/>
        <w:ind w:left="660" w:right="926" w:hanging="360"/>
        <w:jc w:val="left"/>
        <w:rPr>
          <w:sz w:val="18"/>
        </w:rPr>
      </w:pPr>
      <w:r>
        <w:rPr>
          <w:sz w:val="18"/>
        </w:rPr>
        <w:t>providing opportunities for all Aboriginal and Torres Strait Islander families to have the opportunity to participate in child protection decisions that affect their lives including through an independent person or entity and the Family Participation</w:t>
      </w:r>
      <w:r>
        <w:rPr>
          <w:spacing w:val="-13"/>
          <w:sz w:val="18"/>
        </w:rPr>
        <w:t> </w:t>
      </w:r>
      <w:r>
        <w:rPr>
          <w:sz w:val="18"/>
        </w:rPr>
        <w:t>Program.</w:t>
      </w:r>
    </w:p>
    <w:p>
      <w:pPr>
        <w:pStyle w:val="ListParagraph"/>
        <w:numPr>
          <w:ilvl w:val="0"/>
          <w:numId w:val="21"/>
        </w:numPr>
        <w:tabs>
          <w:tab w:pos="660" w:val="left" w:leader="none"/>
          <w:tab w:pos="661" w:val="left" w:leader="none"/>
        </w:tabs>
        <w:spacing w:line="261" w:lineRule="auto" w:before="2" w:after="0"/>
        <w:ind w:left="660" w:right="844" w:hanging="360"/>
        <w:jc w:val="left"/>
        <w:rPr>
          <w:sz w:val="18"/>
        </w:rPr>
      </w:pPr>
      <w:r>
        <w:rPr>
          <w:sz w:val="18"/>
        </w:rPr>
        <w:t>applying the Wellbeing Outcomes Framework for Aboriginal and Torres Strait Islander children and young people to ensure their safety and wellbeing through appropriately targeted investment and strengthened accountability of government and service</w:t>
      </w:r>
      <w:r>
        <w:rPr>
          <w:spacing w:val="-14"/>
          <w:sz w:val="18"/>
        </w:rPr>
        <w:t> </w:t>
      </w:r>
      <w:r>
        <w:rPr>
          <w:sz w:val="18"/>
        </w:rPr>
        <w:t>providers.</w:t>
      </w:r>
    </w:p>
    <w:p>
      <w:pPr>
        <w:pStyle w:val="ListParagraph"/>
        <w:numPr>
          <w:ilvl w:val="0"/>
          <w:numId w:val="21"/>
        </w:numPr>
        <w:tabs>
          <w:tab w:pos="660" w:val="left" w:leader="none"/>
          <w:tab w:pos="661" w:val="left" w:leader="none"/>
        </w:tabs>
        <w:spacing w:line="261" w:lineRule="auto" w:before="3" w:after="0"/>
        <w:ind w:left="660" w:right="1093" w:hanging="360"/>
        <w:jc w:val="left"/>
        <w:rPr>
          <w:sz w:val="18"/>
        </w:rPr>
      </w:pPr>
      <w:r>
        <w:rPr>
          <w:sz w:val="18"/>
        </w:rPr>
        <w:t>supporting the development and implementation of an Aboriginal and Torres Strait Islander healing strategy to address intergenerational trauma, grief, loss, violence and</w:t>
      </w:r>
      <w:r>
        <w:rPr>
          <w:spacing w:val="-19"/>
          <w:sz w:val="18"/>
        </w:rPr>
        <w:t> </w:t>
      </w:r>
      <w:r>
        <w:rPr>
          <w:sz w:val="18"/>
        </w:rPr>
        <w:t>abuse.</w:t>
      </w:r>
    </w:p>
    <w:p>
      <w:pPr>
        <w:pStyle w:val="Heading4"/>
        <w:numPr>
          <w:ilvl w:val="2"/>
          <w:numId w:val="17"/>
        </w:numPr>
        <w:tabs>
          <w:tab w:pos="1320" w:val="left" w:leader="none"/>
          <w:tab w:pos="1321" w:val="left" w:leader="none"/>
        </w:tabs>
        <w:spacing w:line="264" w:lineRule="auto" w:before="172" w:after="0"/>
        <w:ind w:left="1320" w:right="1310" w:hanging="1020"/>
        <w:jc w:val="left"/>
      </w:pPr>
      <w:bookmarkStart w:name="_bookmark19" w:id="24"/>
      <w:bookmarkEnd w:id="24"/>
      <w:r>
        <w:rPr>
          <w:b w:val="0"/>
        </w:rPr>
      </w:r>
      <w:bookmarkStart w:name="_bookmark19" w:id="25"/>
      <w:bookmarkEnd w:id="25"/>
      <w:r>
        <w:rPr/>
        <w:t>C</w:t>
      </w:r>
      <w:r>
        <w:rPr/>
        <w:t>ontext on the Wellbeing Outcomes Framework for Aboriginal and Torres Strait Islander children and young people in</w:t>
      </w:r>
      <w:r>
        <w:rPr>
          <w:spacing w:val="-5"/>
        </w:rPr>
        <w:t> </w:t>
      </w:r>
      <w:r>
        <w:rPr/>
        <w:t>Queensland</w:t>
      </w:r>
    </w:p>
    <w:p>
      <w:pPr>
        <w:pStyle w:val="BodyText"/>
        <w:spacing w:line="264" w:lineRule="auto"/>
        <w:ind w:left="300" w:right="855"/>
      </w:pPr>
      <w:r>
        <w:rPr/>
        <w:t>In 2019, DCYJMA developed the Aboriginal and Torres Strait Islander Wellbeing Outcomes Framework (WOF) with a focus on children and young people. WOF was developed in consultation with government stakeholders, the Queensland First Children and Families Board and Aboriginal and Torres Strait Islander communities, organisations and young people.</w:t>
      </w:r>
    </w:p>
    <w:p>
      <w:pPr>
        <w:pStyle w:val="BodyText"/>
        <w:spacing w:line="264" w:lineRule="auto" w:before="167"/>
        <w:ind w:left="300" w:right="798"/>
      </w:pPr>
      <w:r>
        <w:rPr/>
        <w:t>Within the WOF, there are eight interconnected wellbeing domains which represent aspects of a child and young person’s life that impact on their wellbeing. They include culture and connection, economic empowerment, health, mental health and emotional wellbeing, learning and skills, home and environment, empowerment and safety.</w:t>
      </w:r>
    </w:p>
    <w:p>
      <w:pPr>
        <w:pStyle w:val="BodyText"/>
        <w:spacing w:line="264" w:lineRule="auto" w:before="168"/>
        <w:ind w:left="300" w:right="932"/>
      </w:pPr>
      <w:r>
        <w:rPr/>
        <w:t>Wellbeing outcomes are attached to each domain. Each outcome represents the ultimate state of wellbeing for children and young people for a particular domain. The WOF has informed the development of outcomes included in </w:t>
      </w:r>
      <w:r>
        <w:rPr>
          <w:i/>
        </w:rPr>
        <w:t>Our Way’s </w:t>
      </w:r>
      <w:r>
        <w:rPr/>
        <w:t>program logic model (see Section </w:t>
      </w:r>
      <w:hyperlink w:history="true" w:anchor="_bookmark91">
        <w:r>
          <w:rPr/>
          <w:t>6.2</w:t>
        </w:r>
      </w:hyperlink>
      <w:r>
        <w:rPr/>
        <w:t>).</w:t>
      </w:r>
    </w:p>
    <w:p>
      <w:pPr>
        <w:pStyle w:val="BodyText"/>
        <w:spacing w:before="10"/>
      </w:pPr>
    </w:p>
    <w:p>
      <w:pPr>
        <w:pStyle w:val="Heading2"/>
        <w:numPr>
          <w:ilvl w:val="1"/>
          <w:numId w:val="17"/>
        </w:numPr>
        <w:tabs>
          <w:tab w:pos="1094" w:val="left" w:leader="none"/>
          <w:tab w:pos="1095" w:val="left" w:leader="none"/>
        </w:tabs>
        <w:spacing w:line="240" w:lineRule="auto" w:before="0" w:after="0"/>
        <w:ind w:left="1094" w:right="0" w:hanging="795"/>
        <w:jc w:val="left"/>
      </w:pPr>
      <w:bookmarkStart w:name="_bookmark20" w:id="26"/>
      <w:bookmarkEnd w:id="26"/>
      <w:r>
        <w:rPr>
          <w:b w:val="0"/>
        </w:rPr>
      </w:r>
      <w:bookmarkStart w:name="_bookmark20" w:id="27"/>
      <w:bookmarkEnd w:id="27"/>
      <w:r>
        <w:rPr>
          <w:color w:val="61B5E4"/>
        </w:rPr>
        <w:t>Bro</w:t>
      </w:r>
      <w:r>
        <w:rPr>
          <w:color w:val="61B5E4"/>
        </w:rPr>
        <w:t>ader policy</w:t>
      </w:r>
      <w:r>
        <w:rPr>
          <w:color w:val="61B5E4"/>
          <w:spacing w:val="-3"/>
        </w:rPr>
        <w:t> </w:t>
      </w:r>
      <w:r>
        <w:rPr>
          <w:color w:val="61B5E4"/>
        </w:rPr>
        <w:t>context</w:t>
      </w:r>
    </w:p>
    <w:p>
      <w:pPr>
        <w:pStyle w:val="BodyText"/>
        <w:spacing w:line="264" w:lineRule="auto" w:before="20"/>
        <w:ind w:left="300" w:right="1299"/>
      </w:pPr>
      <w:r>
        <w:rPr/>
        <w:t>To achieve the </w:t>
      </w:r>
      <w:r>
        <w:rPr>
          <w:i/>
        </w:rPr>
        <w:t>Our Way </w:t>
      </w:r>
      <w:r>
        <w:rPr/>
        <w:t>vision, the strategy and action plans are aligned to the goals of both national and state initiatives and strategies.</w:t>
      </w:r>
    </w:p>
    <w:p>
      <w:pPr>
        <w:pStyle w:val="Heading4"/>
        <w:numPr>
          <w:ilvl w:val="2"/>
          <w:numId w:val="17"/>
        </w:numPr>
        <w:tabs>
          <w:tab w:pos="1320" w:val="left" w:leader="none"/>
          <w:tab w:pos="1321" w:val="left" w:leader="none"/>
        </w:tabs>
        <w:spacing w:line="240" w:lineRule="auto" w:before="170" w:after="0"/>
        <w:ind w:left="1320" w:right="0" w:hanging="1021"/>
        <w:jc w:val="left"/>
      </w:pPr>
      <w:bookmarkStart w:name="_bookmark21" w:id="28"/>
      <w:bookmarkEnd w:id="28"/>
      <w:r>
        <w:rPr>
          <w:b w:val="0"/>
        </w:rPr>
      </w:r>
      <w:bookmarkStart w:name="_bookmark21" w:id="29"/>
      <w:bookmarkEnd w:id="29"/>
      <w:r>
        <w:rPr/>
        <w:t>Q</w:t>
      </w:r>
      <w:r>
        <w:rPr/>
        <w:t>ueensland Government</w:t>
      </w:r>
      <w:r>
        <w:rPr>
          <w:spacing w:val="-3"/>
        </w:rPr>
        <w:t> </w:t>
      </w:r>
      <w:r>
        <w:rPr/>
        <w:t>strategies</w:t>
      </w:r>
    </w:p>
    <w:p>
      <w:pPr>
        <w:pStyle w:val="BodyText"/>
        <w:spacing w:line="264" w:lineRule="auto" w:before="21"/>
        <w:ind w:left="300" w:right="741"/>
      </w:pPr>
      <w:r>
        <w:rPr/>
        <w:t>At the state level, implementation of </w:t>
      </w:r>
      <w:r>
        <w:rPr>
          <w:i/>
        </w:rPr>
        <w:t>Our Way </w:t>
      </w:r>
      <w:r>
        <w:rPr/>
        <w:t>and associated action plans will build on work underway through a range of initiatives including the Family Matters Campaign, the Queensland Healing Strategy, Path to Treaty, Local Thriving Communities, and </w:t>
      </w:r>
      <w:r>
        <w:rPr>
          <w:i/>
        </w:rPr>
        <w:t>Supporting Families Changing </w:t>
      </w:r>
      <w:r>
        <w:rPr>
          <w:i/>
        </w:rPr>
        <w:t>Futures: Advancing Queensland’s child protection and family support reforms</w:t>
      </w:r>
      <w:r>
        <w:rPr/>
        <w:t>. Each includes a number of current and future strategies and initiatives across Queensland Government, as outlined in the Strategy. Two additional key inputs have significantly influenced </w:t>
      </w:r>
      <w:r>
        <w:rPr>
          <w:i/>
        </w:rPr>
        <w:t>Our Way </w:t>
      </w:r>
      <w:r>
        <w:rPr/>
        <w:t>in terms of both design and implementation, including:</w:t>
      </w:r>
    </w:p>
    <w:p>
      <w:pPr>
        <w:pStyle w:val="ListParagraph"/>
        <w:numPr>
          <w:ilvl w:val="0"/>
          <w:numId w:val="22"/>
        </w:numPr>
        <w:tabs>
          <w:tab w:pos="661" w:val="left" w:leader="none"/>
        </w:tabs>
        <w:spacing w:line="264" w:lineRule="auto" w:before="166" w:after="0"/>
        <w:ind w:left="660" w:right="848" w:hanging="360"/>
        <w:jc w:val="left"/>
        <w:rPr>
          <w:sz w:val="18"/>
        </w:rPr>
      </w:pPr>
      <w:r>
        <w:rPr>
          <w:b/>
          <w:sz w:val="18"/>
        </w:rPr>
        <w:t>Queensland Child Protection Commission of Inquiry </w:t>
      </w:r>
      <w:r>
        <w:rPr>
          <w:sz w:val="18"/>
        </w:rPr>
        <w:t>(the </w:t>
      </w:r>
      <w:r>
        <w:rPr>
          <w:i/>
          <w:sz w:val="18"/>
        </w:rPr>
        <w:t>Carmody Review</w:t>
      </w:r>
      <w:r>
        <w:rPr>
          <w:position w:val="6"/>
          <w:sz w:val="12"/>
        </w:rPr>
        <w:t>6</w:t>
      </w:r>
      <w:r>
        <w:rPr>
          <w:i/>
          <w:sz w:val="18"/>
        </w:rPr>
        <w:t>) </w:t>
      </w:r>
      <w:r>
        <w:rPr>
          <w:sz w:val="18"/>
        </w:rPr>
        <w:t>- noted that child abuse and neglect are distressing and intractable social problems, made worse by avoidable failures in the very systems set up to protect children at risk of harm. The Commission concluded that the current child protection system was not ensuring the safety, wellbeing and best interests of children as well as it should or</w:t>
      </w:r>
      <w:r>
        <w:rPr>
          <w:spacing w:val="-17"/>
          <w:sz w:val="18"/>
        </w:rPr>
        <w:t> </w:t>
      </w:r>
      <w:r>
        <w:rPr>
          <w:sz w:val="18"/>
        </w:rPr>
        <w:t>could.</w:t>
      </w:r>
    </w:p>
    <w:p>
      <w:pPr>
        <w:pStyle w:val="ListParagraph"/>
        <w:numPr>
          <w:ilvl w:val="0"/>
          <w:numId w:val="22"/>
        </w:numPr>
        <w:tabs>
          <w:tab w:pos="661" w:val="left" w:leader="none"/>
        </w:tabs>
        <w:spacing w:line="264" w:lineRule="auto" w:before="0" w:after="0"/>
        <w:ind w:left="660" w:right="789" w:hanging="360"/>
        <w:jc w:val="left"/>
        <w:rPr>
          <w:sz w:val="18"/>
        </w:rPr>
      </w:pPr>
      <w:r>
        <w:rPr>
          <w:b/>
          <w:sz w:val="18"/>
        </w:rPr>
        <w:t>Supporting the national focus on Closing the Gap</w:t>
      </w:r>
      <w:r>
        <w:rPr>
          <w:position w:val="6"/>
          <w:sz w:val="12"/>
        </w:rPr>
        <w:t>7 </w:t>
      </w:r>
      <w:r>
        <w:rPr>
          <w:sz w:val="18"/>
        </w:rPr>
        <w:t>- aims to improve the lives of Aboriginal and Torres Strait Islander peoples in Australia. It is underpinned by the belief that when Aboriginal and Torres Strait Islander peoples have a genuine say in the design and delivery of policies, programs and services that affect them, better life outcomes are achieved. It also recognises that structural change in the way governments work with Aboriginal and Torres Strait Islander peoples is needed to close the</w:t>
      </w:r>
      <w:r>
        <w:rPr>
          <w:spacing w:val="-11"/>
          <w:sz w:val="18"/>
        </w:rPr>
        <w:t> </w:t>
      </w:r>
      <w:r>
        <w:rPr>
          <w:sz w:val="18"/>
        </w:rPr>
        <w:t>gap.</w:t>
      </w:r>
    </w:p>
    <w:p>
      <w:pPr>
        <w:pStyle w:val="BodyText"/>
        <w:spacing w:line="264" w:lineRule="auto" w:before="164"/>
        <w:ind w:left="300" w:right="750"/>
      </w:pPr>
      <w:r>
        <w:rPr/>
        <w:t>These two inputs have been particularly and directly influential to the implementation of </w:t>
      </w:r>
      <w:r>
        <w:rPr>
          <w:i/>
        </w:rPr>
        <w:t>Our Way. </w:t>
      </w:r>
      <w:r>
        <w:rPr/>
        <w:t>Additionally, there are other pieces of legislation, policy initiatives and strategies that system stakeholders are working towards which have alignment with </w:t>
      </w:r>
      <w:r>
        <w:rPr>
          <w:i/>
        </w:rPr>
        <w:t>Our Way’s </w:t>
      </w:r>
      <w:r>
        <w:rPr/>
        <w:t>vision and building blocks. The key Queensland Government legislation, strategy and policy that complement </w:t>
      </w:r>
      <w:r>
        <w:rPr>
          <w:i/>
        </w:rPr>
        <w:t>Our Way </w:t>
      </w:r>
      <w:r>
        <w:rPr/>
        <w:t>are summarised in </w:t>
      </w:r>
      <w:hyperlink w:history="true" w:anchor="_bookmark22">
        <w:r>
          <w:rPr/>
          <w:t>Table 2.1</w:t>
        </w:r>
      </w:hyperlink>
      <w:r>
        <w:rPr/>
        <w:t>.</w:t>
      </w:r>
    </w:p>
    <w:p>
      <w:pPr>
        <w:pStyle w:val="BodyText"/>
        <w:rPr>
          <w:sz w:val="20"/>
        </w:rPr>
      </w:pPr>
    </w:p>
    <w:p>
      <w:pPr>
        <w:pStyle w:val="BodyText"/>
        <w:spacing w:before="3"/>
      </w:pPr>
      <w:r>
        <w:rPr/>
        <w:pict>
          <v:shape style="position:absolute;margin-left:72.024002pt;margin-top:13.328623pt;width:144.050pt;height:.1pt;mso-position-horizontal-relative:page;mso-position-vertical-relative:paragraph;z-index:-251561984;mso-wrap-distance-left:0;mso-wrap-distance-right:0" coordorigin="1440,267" coordsize="2881,0" path="m1440,267l4321,267e" filled="false" stroked="true" strokeweight=".47998pt" strokecolor="#000000">
            <v:path arrowok="t"/>
            <v:stroke dashstyle="solid"/>
            <w10:wrap type="topAndBottom"/>
          </v:shape>
        </w:pict>
      </w:r>
    </w:p>
    <w:p>
      <w:pPr>
        <w:pStyle w:val="BodyText"/>
        <w:spacing w:before="7"/>
        <w:rPr>
          <w:sz w:val="10"/>
        </w:rPr>
      </w:pPr>
    </w:p>
    <w:p>
      <w:pPr>
        <w:spacing w:before="102"/>
        <w:ind w:left="300" w:right="0" w:firstLine="0"/>
        <w:jc w:val="left"/>
        <w:rPr>
          <w:sz w:val="14"/>
        </w:rPr>
      </w:pPr>
      <w:r>
        <w:rPr>
          <w:position w:val="5"/>
          <w:sz w:val="9"/>
        </w:rPr>
        <w:t>6 </w:t>
      </w:r>
      <w:hyperlink r:id="rId59">
        <w:r>
          <w:rPr>
            <w:color w:val="00A2DF"/>
            <w:sz w:val="14"/>
            <w:u w:val="single" w:color="00A2DF"/>
          </w:rPr>
          <w:t>http://www.childprotectioninquiry.qld.gov.au/ data/assets/pdf_file/0017/202625/qcpci-final-report-web-version.pdf</w:t>
        </w:r>
        <w:r>
          <w:rPr>
            <w:sz w:val="14"/>
          </w:rPr>
          <w:t>.</w:t>
        </w:r>
      </w:hyperlink>
    </w:p>
    <w:p>
      <w:pPr>
        <w:spacing w:before="0"/>
        <w:ind w:left="300" w:right="0" w:firstLine="0"/>
        <w:jc w:val="left"/>
        <w:rPr>
          <w:sz w:val="14"/>
        </w:rPr>
      </w:pPr>
      <w:r>
        <w:rPr>
          <w:position w:val="5"/>
          <w:sz w:val="9"/>
        </w:rPr>
        <w:t>7 </w:t>
      </w:r>
      <w:hyperlink r:id="rId60">
        <w:r>
          <w:rPr>
            <w:color w:val="00A2DF"/>
            <w:sz w:val="14"/>
            <w:u w:val="single" w:color="00A2DF"/>
          </w:rPr>
          <w:t>https://www.closingthegap.gov.au/</w:t>
        </w:r>
        <w:r>
          <w:rPr>
            <w:sz w:val="14"/>
          </w:rPr>
          <w:t>.</w:t>
        </w:r>
      </w:hyperlink>
    </w:p>
    <w:p>
      <w:pPr>
        <w:spacing w:after="0"/>
        <w:jc w:val="left"/>
        <w:rPr>
          <w:sz w:val="14"/>
        </w:rPr>
        <w:sectPr>
          <w:pgSz w:w="11910" w:h="16840"/>
          <w:pgMar w:header="650" w:footer="420" w:top="1340" w:bottom="620" w:left="1140" w:right="700"/>
        </w:sectPr>
      </w:pPr>
    </w:p>
    <w:p>
      <w:pPr>
        <w:spacing w:before="121"/>
        <w:ind w:left="300" w:right="0" w:firstLine="0"/>
        <w:jc w:val="left"/>
        <w:rPr>
          <w:i/>
          <w:sz w:val="17"/>
        </w:rPr>
      </w:pPr>
      <w:r>
        <w:rPr>
          <w:color w:val="75787A"/>
          <w:sz w:val="17"/>
        </w:rPr>
        <w:t>Table </w:t>
      </w:r>
      <w:bookmarkStart w:name="_bookmark22" w:id="30"/>
      <w:bookmarkEnd w:id="30"/>
      <w:r>
        <w:rPr>
          <w:color w:val="75787A"/>
          <w:sz w:val="17"/>
        </w:rPr>
        <w:t>2.1</w:t>
      </w:r>
      <w:r>
        <w:rPr>
          <w:color w:val="75787A"/>
          <w:sz w:val="17"/>
        </w:rPr>
        <w:t> Queensland Government legislation / policy / strategies which complement </w:t>
      </w:r>
      <w:r>
        <w:rPr>
          <w:i/>
          <w:color w:val="75787A"/>
          <w:sz w:val="17"/>
        </w:rPr>
        <w:t>Our Way</w:t>
      </w:r>
    </w:p>
    <w:p>
      <w:pPr>
        <w:pStyle w:val="BodyText"/>
        <w:spacing w:before="9" w:after="1"/>
        <w:rPr>
          <w:i/>
          <w:sz w:val="19"/>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2"/>
        <w:gridCol w:w="7125"/>
      </w:tblGrid>
      <w:tr>
        <w:trPr>
          <w:trHeight w:val="525" w:hRule="atLeast"/>
        </w:trPr>
        <w:tc>
          <w:tcPr>
            <w:tcW w:w="1702" w:type="dxa"/>
            <w:tcBorders>
              <w:top w:val="single" w:sz="24" w:space="0" w:color="61B5E4"/>
              <w:bottom w:val="single" w:sz="4" w:space="0" w:color="000000"/>
            </w:tcBorders>
          </w:tcPr>
          <w:p>
            <w:pPr>
              <w:pStyle w:val="TableParagraph"/>
              <w:spacing w:before="90"/>
              <w:ind w:left="57"/>
              <w:rPr>
                <w:b/>
                <w:sz w:val="17"/>
              </w:rPr>
            </w:pPr>
            <w:r>
              <w:rPr>
                <w:b/>
                <w:sz w:val="17"/>
              </w:rPr>
              <w:t>Domain</w:t>
            </w:r>
          </w:p>
        </w:tc>
        <w:tc>
          <w:tcPr>
            <w:tcW w:w="7125" w:type="dxa"/>
            <w:tcBorders>
              <w:top w:val="single" w:sz="24" w:space="0" w:color="61B5E4"/>
              <w:bottom w:val="single" w:sz="4" w:space="0" w:color="000000"/>
            </w:tcBorders>
          </w:tcPr>
          <w:p>
            <w:pPr>
              <w:pStyle w:val="TableParagraph"/>
              <w:spacing w:before="90"/>
              <w:ind w:left="57"/>
              <w:rPr>
                <w:b/>
                <w:sz w:val="17"/>
              </w:rPr>
            </w:pPr>
            <w:r>
              <w:rPr>
                <w:b/>
                <w:sz w:val="17"/>
              </w:rPr>
              <w:t>Relevant legislation / policy / strategies</w:t>
            </w:r>
          </w:p>
        </w:tc>
      </w:tr>
      <w:tr>
        <w:trPr>
          <w:trHeight w:val="834" w:hRule="atLeast"/>
        </w:trPr>
        <w:tc>
          <w:tcPr>
            <w:tcW w:w="1702" w:type="dxa"/>
            <w:tcBorders>
              <w:top w:val="single" w:sz="4" w:space="0" w:color="000000"/>
            </w:tcBorders>
          </w:tcPr>
          <w:p>
            <w:pPr>
              <w:pStyle w:val="TableParagraph"/>
              <w:spacing w:before="90"/>
              <w:ind w:left="57"/>
              <w:rPr>
                <w:sz w:val="17"/>
              </w:rPr>
            </w:pPr>
            <w:r>
              <w:rPr>
                <w:sz w:val="17"/>
              </w:rPr>
              <w:t>Healing and rights</w:t>
            </w:r>
          </w:p>
        </w:tc>
        <w:tc>
          <w:tcPr>
            <w:tcW w:w="7125" w:type="dxa"/>
            <w:tcBorders>
              <w:top w:val="single" w:sz="4" w:space="0" w:color="000000"/>
              <w:bottom w:val="single" w:sz="4" w:space="0" w:color="000000"/>
            </w:tcBorders>
          </w:tcPr>
          <w:p>
            <w:pPr>
              <w:pStyle w:val="TableParagraph"/>
              <w:spacing w:line="278" w:lineRule="auto" w:before="90"/>
              <w:ind w:left="57" w:right="300"/>
              <w:rPr>
                <w:sz w:val="17"/>
              </w:rPr>
            </w:pPr>
            <w:r>
              <w:rPr>
                <w:sz w:val="17"/>
              </w:rPr>
              <w:t>Tracks to Treaty Statement of Commitment, A Reframed Relationship between Aboriginal and Torres Strait Islander Queenslanders and the Queensland Government</w:t>
            </w:r>
          </w:p>
        </w:tc>
      </w:tr>
      <w:tr>
        <w:trPr>
          <w:trHeight w:val="486" w:hRule="atLeast"/>
        </w:trPr>
        <w:tc>
          <w:tcPr>
            <w:tcW w:w="1702" w:type="dxa"/>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before="90"/>
              <w:ind w:left="57"/>
              <w:rPr>
                <w:sz w:val="17"/>
              </w:rPr>
            </w:pPr>
            <w:r>
              <w:rPr>
                <w:sz w:val="17"/>
              </w:rPr>
              <w:t>Local Thriving Communities</w:t>
            </w:r>
          </w:p>
        </w:tc>
      </w:tr>
      <w:tr>
        <w:trPr>
          <w:trHeight w:val="594" w:hRule="atLeast"/>
        </w:trPr>
        <w:tc>
          <w:tcPr>
            <w:tcW w:w="1702" w:type="dxa"/>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line="278" w:lineRule="auto" w:before="90"/>
              <w:ind w:left="57" w:right="251"/>
              <w:rPr>
                <w:sz w:val="17"/>
              </w:rPr>
            </w:pPr>
            <w:r>
              <w:rPr>
                <w:sz w:val="17"/>
              </w:rPr>
              <w:t>Queensland Government Reconciliation Action Plan 2018-2021 (extended to 31 December 2022)</w:t>
            </w:r>
          </w:p>
        </w:tc>
      </w:tr>
      <w:tr>
        <w:trPr>
          <w:trHeight w:val="410" w:hRule="atLeast"/>
        </w:trPr>
        <w:tc>
          <w:tcPr>
            <w:tcW w:w="1702" w:type="dxa"/>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before="90"/>
              <w:ind w:left="57"/>
              <w:rPr>
                <w:sz w:val="17"/>
              </w:rPr>
            </w:pPr>
            <w:r>
              <w:rPr>
                <w:sz w:val="17"/>
              </w:rPr>
              <w:t>Every Life, The Queensland Suicide Prevention Plan 2019-2029</w:t>
            </w:r>
          </w:p>
        </w:tc>
      </w:tr>
      <w:tr>
        <w:trPr>
          <w:trHeight w:val="410" w:hRule="atLeast"/>
        </w:trPr>
        <w:tc>
          <w:tcPr>
            <w:tcW w:w="1702" w:type="dxa"/>
            <w:tcBorders>
              <w:bottom w:val="single" w:sz="4" w:space="0" w:color="000000"/>
            </w:tcBorders>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before="90"/>
              <w:ind w:left="57"/>
              <w:rPr>
                <w:sz w:val="17"/>
              </w:rPr>
            </w:pPr>
            <w:r>
              <w:rPr>
                <w:sz w:val="17"/>
              </w:rPr>
              <w:t>Human Rights Act 2019</w:t>
            </w:r>
          </w:p>
        </w:tc>
      </w:tr>
      <w:tr>
        <w:trPr>
          <w:trHeight w:val="594" w:hRule="atLeast"/>
        </w:trPr>
        <w:tc>
          <w:tcPr>
            <w:tcW w:w="1702" w:type="dxa"/>
            <w:tcBorders>
              <w:top w:val="single" w:sz="4" w:space="0" w:color="000000"/>
            </w:tcBorders>
          </w:tcPr>
          <w:p>
            <w:pPr>
              <w:pStyle w:val="TableParagraph"/>
              <w:spacing w:line="278" w:lineRule="auto" w:before="90"/>
              <w:ind w:left="57" w:right="697"/>
              <w:rPr>
                <w:sz w:val="17"/>
              </w:rPr>
            </w:pPr>
            <w:r>
              <w:rPr>
                <w:sz w:val="17"/>
              </w:rPr>
              <w:t>Health and wellbeing</w:t>
            </w:r>
          </w:p>
        </w:tc>
        <w:tc>
          <w:tcPr>
            <w:tcW w:w="7125" w:type="dxa"/>
            <w:tcBorders>
              <w:top w:val="single" w:sz="4" w:space="0" w:color="000000"/>
              <w:bottom w:val="single" w:sz="4" w:space="0" w:color="000000"/>
            </w:tcBorders>
          </w:tcPr>
          <w:p>
            <w:pPr>
              <w:pStyle w:val="TableParagraph"/>
              <w:spacing w:line="278" w:lineRule="auto" w:before="90"/>
              <w:ind w:left="57" w:right="371"/>
              <w:rPr>
                <w:sz w:val="17"/>
              </w:rPr>
            </w:pPr>
            <w:r>
              <w:rPr>
                <w:sz w:val="17"/>
              </w:rPr>
              <w:t>Hospital and Health Boards (Health Equity Strategies) Amendment Regulation 2021</w:t>
            </w:r>
          </w:p>
        </w:tc>
      </w:tr>
      <w:tr>
        <w:trPr>
          <w:trHeight w:val="592" w:hRule="atLeast"/>
        </w:trPr>
        <w:tc>
          <w:tcPr>
            <w:tcW w:w="1702" w:type="dxa"/>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before="90"/>
              <w:ind w:left="57"/>
              <w:rPr>
                <w:sz w:val="17"/>
              </w:rPr>
            </w:pPr>
            <w:r>
              <w:rPr>
                <w:sz w:val="17"/>
              </w:rPr>
              <w:t>Making Tracks Together – Queensland’s Aboriginal and Torres Strait Islander</w:t>
            </w:r>
          </w:p>
          <w:p>
            <w:pPr>
              <w:pStyle w:val="TableParagraph"/>
              <w:spacing w:before="34"/>
              <w:ind w:left="57"/>
              <w:rPr>
                <w:sz w:val="17"/>
              </w:rPr>
            </w:pPr>
            <w:r>
              <w:rPr>
                <w:sz w:val="17"/>
              </w:rPr>
              <w:t>Health Equity Framework</w:t>
            </w:r>
          </w:p>
        </w:tc>
      </w:tr>
      <w:tr>
        <w:trPr>
          <w:trHeight w:val="594" w:hRule="atLeast"/>
        </w:trPr>
        <w:tc>
          <w:tcPr>
            <w:tcW w:w="1702" w:type="dxa"/>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line="278" w:lineRule="auto" w:before="90"/>
              <w:ind w:left="57" w:right="288"/>
              <w:rPr>
                <w:sz w:val="17"/>
              </w:rPr>
            </w:pPr>
            <w:r>
              <w:rPr>
                <w:sz w:val="17"/>
              </w:rPr>
              <w:t>Aboriginal and Torres Strait Islander Health and Wellbeing Services Plan 2018- 2023</w:t>
            </w:r>
          </w:p>
        </w:tc>
      </w:tr>
      <w:tr>
        <w:trPr>
          <w:trHeight w:val="594" w:hRule="atLeast"/>
        </w:trPr>
        <w:tc>
          <w:tcPr>
            <w:tcW w:w="1702" w:type="dxa"/>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before="90"/>
              <w:ind w:left="57"/>
              <w:rPr>
                <w:sz w:val="17"/>
              </w:rPr>
            </w:pPr>
            <w:r>
              <w:rPr>
                <w:sz w:val="17"/>
              </w:rPr>
              <w:t>Deadly Kids Deadly Futures, Queensland’s Aboriginal and Torres Strait Islander</w:t>
            </w:r>
          </w:p>
          <w:p>
            <w:pPr>
              <w:pStyle w:val="TableParagraph"/>
              <w:spacing w:before="34"/>
              <w:ind w:left="57"/>
              <w:rPr>
                <w:sz w:val="17"/>
              </w:rPr>
            </w:pPr>
            <w:r>
              <w:rPr>
                <w:sz w:val="17"/>
              </w:rPr>
              <w:t>Child Ear and Hearing Health Framework 2016-2026</w:t>
            </w:r>
          </w:p>
        </w:tc>
      </w:tr>
      <w:tr>
        <w:trPr>
          <w:trHeight w:val="592" w:hRule="atLeast"/>
        </w:trPr>
        <w:tc>
          <w:tcPr>
            <w:tcW w:w="1702" w:type="dxa"/>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line="278" w:lineRule="auto" w:before="90"/>
              <w:ind w:left="57" w:right="40"/>
              <w:rPr>
                <w:sz w:val="17"/>
              </w:rPr>
            </w:pPr>
            <w:r>
              <w:rPr>
                <w:sz w:val="17"/>
              </w:rPr>
              <w:t>Growing Deadly Families: Aboriginal and Torres Strait Islander Maternity Services Strategy 2019-2025</w:t>
            </w:r>
          </w:p>
        </w:tc>
      </w:tr>
      <w:tr>
        <w:trPr>
          <w:trHeight w:val="594" w:hRule="atLeast"/>
        </w:trPr>
        <w:tc>
          <w:tcPr>
            <w:tcW w:w="1702" w:type="dxa"/>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line="278" w:lineRule="auto" w:before="90"/>
              <w:ind w:left="57" w:right="447"/>
              <w:rPr>
                <w:sz w:val="17"/>
              </w:rPr>
            </w:pPr>
            <w:r>
              <w:rPr>
                <w:sz w:val="17"/>
              </w:rPr>
              <w:t>Shifting Minds: Queensland Mental Health, Alcohol and other Drugs Strategic Plan 2018-2023</w:t>
            </w:r>
          </w:p>
        </w:tc>
      </w:tr>
      <w:tr>
        <w:trPr>
          <w:trHeight w:val="424" w:hRule="atLeast"/>
        </w:trPr>
        <w:tc>
          <w:tcPr>
            <w:tcW w:w="1702" w:type="dxa"/>
            <w:tcBorders>
              <w:bottom w:val="single" w:sz="4" w:space="0" w:color="000000"/>
            </w:tcBorders>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before="90"/>
              <w:ind w:left="57"/>
              <w:rPr>
                <w:sz w:val="17"/>
              </w:rPr>
            </w:pPr>
            <w:r>
              <w:rPr>
                <w:sz w:val="17"/>
              </w:rPr>
              <w:t>Activate! Queensland 2019-2029 (Queensland Sport and Recreation Strategy)</w:t>
            </w:r>
          </w:p>
        </w:tc>
      </w:tr>
      <w:tr>
        <w:trPr>
          <w:trHeight w:val="594" w:hRule="atLeast"/>
        </w:trPr>
        <w:tc>
          <w:tcPr>
            <w:tcW w:w="1702" w:type="dxa"/>
            <w:tcBorders>
              <w:top w:val="single" w:sz="4" w:space="0" w:color="000000"/>
              <w:bottom w:val="single" w:sz="4" w:space="0" w:color="000000"/>
            </w:tcBorders>
          </w:tcPr>
          <w:p>
            <w:pPr>
              <w:pStyle w:val="TableParagraph"/>
              <w:spacing w:before="90"/>
              <w:ind w:left="57"/>
              <w:rPr>
                <w:sz w:val="17"/>
              </w:rPr>
            </w:pPr>
            <w:r>
              <w:rPr>
                <w:sz w:val="17"/>
              </w:rPr>
              <w:t>Housing</w:t>
            </w:r>
          </w:p>
        </w:tc>
        <w:tc>
          <w:tcPr>
            <w:tcW w:w="7125" w:type="dxa"/>
            <w:tcBorders>
              <w:top w:val="single" w:sz="4" w:space="0" w:color="000000"/>
              <w:bottom w:val="single" w:sz="4" w:space="0" w:color="000000"/>
            </w:tcBorders>
          </w:tcPr>
          <w:p>
            <w:pPr>
              <w:pStyle w:val="TableParagraph"/>
              <w:spacing w:line="278" w:lineRule="auto" w:before="90"/>
              <w:ind w:left="57" w:right="633"/>
              <w:rPr>
                <w:sz w:val="17"/>
              </w:rPr>
            </w:pPr>
            <w:r>
              <w:rPr>
                <w:sz w:val="17"/>
              </w:rPr>
              <w:t>Working Together for a Better Housing Future, Aboriginal and Torres Strait Islander Housing Action Plan 2019-2023</w:t>
            </w:r>
          </w:p>
        </w:tc>
      </w:tr>
      <w:tr>
        <w:trPr>
          <w:trHeight w:val="594" w:hRule="atLeast"/>
        </w:trPr>
        <w:tc>
          <w:tcPr>
            <w:tcW w:w="1702" w:type="dxa"/>
            <w:tcBorders>
              <w:top w:val="single" w:sz="4" w:space="0" w:color="000000"/>
              <w:bottom w:val="single" w:sz="4" w:space="0" w:color="000000"/>
            </w:tcBorders>
          </w:tcPr>
          <w:p>
            <w:pPr>
              <w:pStyle w:val="TableParagraph"/>
              <w:spacing w:before="90"/>
              <w:ind w:left="57"/>
              <w:rPr>
                <w:sz w:val="17"/>
              </w:rPr>
            </w:pPr>
            <w:r>
              <w:rPr>
                <w:sz w:val="17"/>
              </w:rPr>
              <w:t>Safety</w:t>
            </w:r>
          </w:p>
        </w:tc>
        <w:tc>
          <w:tcPr>
            <w:tcW w:w="7125" w:type="dxa"/>
            <w:tcBorders>
              <w:top w:val="single" w:sz="4" w:space="0" w:color="000000"/>
              <w:bottom w:val="single" w:sz="4" w:space="0" w:color="000000"/>
            </w:tcBorders>
          </w:tcPr>
          <w:p>
            <w:pPr>
              <w:pStyle w:val="TableParagraph"/>
              <w:spacing w:line="278" w:lineRule="auto" w:before="90"/>
              <w:ind w:left="57" w:right="398"/>
              <w:rPr>
                <w:sz w:val="17"/>
              </w:rPr>
            </w:pPr>
            <w:r>
              <w:rPr>
                <w:sz w:val="17"/>
              </w:rPr>
              <w:t>The Framework for Action – Reshaping our Approach to Aboriginal and Torres Strait Islander Domestic and Family Violence</w:t>
            </w:r>
          </w:p>
        </w:tc>
      </w:tr>
      <w:tr>
        <w:trPr>
          <w:trHeight w:val="424" w:hRule="atLeast"/>
        </w:trPr>
        <w:tc>
          <w:tcPr>
            <w:tcW w:w="1702" w:type="dxa"/>
            <w:tcBorders>
              <w:top w:val="single" w:sz="4" w:space="0" w:color="000000"/>
              <w:bottom w:val="single" w:sz="4" w:space="0" w:color="000000"/>
            </w:tcBorders>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before="90"/>
              <w:ind w:left="57"/>
              <w:rPr>
                <w:sz w:val="17"/>
              </w:rPr>
            </w:pPr>
            <w:r>
              <w:rPr>
                <w:sz w:val="17"/>
              </w:rPr>
              <w:t>National Strategy to Prevent and Respond to Child Sexual Abuse 2021-2030</w:t>
            </w:r>
          </w:p>
        </w:tc>
      </w:tr>
      <w:tr>
        <w:trPr>
          <w:trHeight w:val="595" w:hRule="atLeast"/>
        </w:trPr>
        <w:tc>
          <w:tcPr>
            <w:tcW w:w="1702" w:type="dxa"/>
            <w:tcBorders>
              <w:top w:val="single" w:sz="4" w:space="0" w:color="000000"/>
            </w:tcBorders>
          </w:tcPr>
          <w:p>
            <w:pPr>
              <w:pStyle w:val="TableParagraph"/>
              <w:spacing w:before="90"/>
              <w:ind w:left="57"/>
              <w:rPr>
                <w:sz w:val="17"/>
              </w:rPr>
            </w:pPr>
            <w:r>
              <w:rPr>
                <w:sz w:val="17"/>
              </w:rPr>
              <w:t>Education</w:t>
            </w:r>
          </w:p>
        </w:tc>
        <w:tc>
          <w:tcPr>
            <w:tcW w:w="7125" w:type="dxa"/>
            <w:tcBorders>
              <w:top w:val="single" w:sz="4" w:space="0" w:color="000000"/>
              <w:bottom w:val="single" w:sz="4" w:space="0" w:color="000000"/>
            </w:tcBorders>
          </w:tcPr>
          <w:p>
            <w:pPr>
              <w:pStyle w:val="TableParagraph"/>
              <w:spacing w:line="278" w:lineRule="auto" w:before="90"/>
              <w:ind w:left="57" w:right="446"/>
              <w:rPr>
                <w:sz w:val="17"/>
              </w:rPr>
            </w:pPr>
            <w:r>
              <w:rPr>
                <w:sz w:val="17"/>
              </w:rPr>
              <w:t>Advancing Aboriginal and Torres Strait Islander education: An action plan for Queensland</w:t>
            </w:r>
          </w:p>
        </w:tc>
      </w:tr>
      <w:tr>
        <w:trPr>
          <w:trHeight w:val="424" w:hRule="atLeast"/>
        </w:trPr>
        <w:tc>
          <w:tcPr>
            <w:tcW w:w="1702" w:type="dxa"/>
            <w:tcBorders>
              <w:bottom w:val="single" w:sz="4" w:space="0" w:color="000000"/>
            </w:tcBorders>
          </w:tcPr>
          <w:p>
            <w:pPr>
              <w:pStyle w:val="TableParagraph"/>
              <w:rPr>
                <w:rFonts w:ascii="Times New Roman"/>
                <w:sz w:val="16"/>
              </w:rPr>
            </w:pPr>
          </w:p>
        </w:tc>
        <w:tc>
          <w:tcPr>
            <w:tcW w:w="7125" w:type="dxa"/>
            <w:tcBorders>
              <w:top w:val="single" w:sz="4" w:space="0" w:color="000000"/>
              <w:bottom w:val="single" w:sz="4" w:space="0" w:color="000000"/>
            </w:tcBorders>
          </w:tcPr>
          <w:p>
            <w:pPr>
              <w:pStyle w:val="TableParagraph"/>
              <w:spacing w:before="88"/>
              <w:ind w:left="57"/>
              <w:rPr>
                <w:sz w:val="17"/>
              </w:rPr>
            </w:pPr>
            <w:r>
              <w:rPr>
                <w:sz w:val="17"/>
              </w:rPr>
              <w:t>Every Aboriginal and Torres Strait Islander student succeeding strategy</w:t>
            </w:r>
          </w:p>
        </w:tc>
      </w:tr>
    </w:tbl>
    <w:p>
      <w:pPr>
        <w:spacing w:before="45"/>
        <w:ind w:left="300" w:right="0" w:firstLine="0"/>
        <w:jc w:val="left"/>
        <w:rPr>
          <w:sz w:val="16"/>
        </w:rPr>
      </w:pPr>
      <w:r>
        <w:rPr>
          <w:color w:val="75787A"/>
          <w:sz w:val="16"/>
        </w:rPr>
        <w:t>Source: Deloitte Access Economics, DCYJMA Changing Tracks Action Plan</w:t>
      </w:r>
    </w:p>
    <w:p>
      <w:pPr>
        <w:pStyle w:val="BodyText"/>
        <w:spacing w:before="9"/>
        <w:rPr>
          <w:sz w:val="15"/>
        </w:rPr>
      </w:pPr>
    </w:p>
    <w:p>
      <w:pPr>
        <w:pStyle w:val="Heading4"/>
        <w:numPr>
          <w:ilvl w:val="2"/>
          <w:numId w:val="17"/>
        </w:numPr>
        <w:tabs>
          <w:tab w:pos="1320" w:val="left" w:leader="none"/>
          <w:tab w:pos="1321" w:val="left" w:leader="none"/>
        </w:tabs>
        <w:spacing w:line="240" w:lineRule="auto" w:before="0" w:after="0"/>
        <w:ind w:left="1320" w:right="0" w:hanging="1021"/>
        <w:jc w:val="left"/>
      </w:pPr>
      <w:bookmarkStart w:name="_bookmark23" w:id="31"/>
      <w:bookmarkEnd w:id="31"/>
      <w:r>
        <w:rPr>
          <w:b w:val="0"/>
        </w:rPr>
      </w:r>
      <w:bookmarkStart w:name="_bookmark23" w:id="32"/>
      <w:bookmarkEnd w:id="32"/>
      <w:r>
        <w:rPr/>
        <w:t>F</w:t>
      </w:r>
      <w:r>
        <w:rPr/>
        <w:t>ederal Government strategies and</w:t>
      </w:r>
      <w:r>
        <w:rPr>
          <w:spacing w:val="-2"/>
        </w:rPr>
        <w:t> </w:t>
      </w:r>
      <w:r>
        <w:rPr/>
        <w:t>initiatives</w:t>
      </w:r>
    </w:p>
    <w:p>
      <w:pPr>
        <w:pStyle w:val="BodyText"/>
        <w:spacing w:before="21"/>
        <w:ind w:left="300"/>
      </w:pPr>
      <w:r>
        <w:rPr/>
        <w:t>At a national level, </w:t>
      </w:r>
      <w:r>
        <w:rPr>
          <w:i/>
        </w:rPr>
        <w:t>Our Way </w:t>
      </w:r>
      <w:r>
        <w:rPr/>
        <w:t>is aligned with the following initiatives and strategies:</w:t>
      </w:r>
    </w:p>
    <w:p>
      <w:pPr>
        <w:pStyle w:val="ListParagraph"/>
        <w:numPr>
          <w:ilvl w:val="0"/>
          <w:numId w:val="21"/>
        </w:numPr>
        <w:tabs>
          <w:tab w:pos="660" w:val="left" w:leader="none"/>
          <w:tab w:pos="661" w:val="left" w:leader="none"/>
        </w:tabs>
        <w:spacing w:line="240" w:lineRule="auto" w:before="192" w:after="0"/>
        <w:ind w:left="660" w:right="0" w:hanging="361"/>
        <w:jc w:val="left"/>
        <w:rPr>
          <w:sz w:val="18"/>
        </w:rPr>
      </w:pPr>
      <w:r>
        <w:rPr>
          <w:sz w:val="18"/>
        </w:rPr>
        <w:t>Family Matters Campaign at both national and state</w:t>
      </w:r>
      <w:r>
        <w:rPr>
          <w:spacing w:val="-11"/>
          <w:sz w:val="18"/>
        </w:rPr>
        <w:t> </w:t>
      </w:r>
      <w:r>
        <w:rPr>
          <w:sz w:val="18"/>
        </w:rPr>
        <w:t>level</w:t>
      </w:r>
    </w:p>
    <w:p>
      <w:pPr>
        <w:pStyle w:val="ListParagraph"/>
        <w:numPr>
          <w:ilvl w:val="0"/>
          <w:numId w:val="21"/>
        </w:numPr>
        <w:tabs>
          <w:tab w:pos="660" w:val="left" w:leader="none"/>
          <w:tab w:pos="661" w:val="left" w:leader="none"/>
        </w:tabs>
        <w:spacing w:line="261" w:lineRule="auto" w:before="19" w:after="0"/>
        <w:ind w:left="660" w:right="813" w:hanging="360"/>
        <w:jc w:val="left"/>
        <w:rPr>
          <w:sz w:val="18"/>
        </w:rPr>
      </w:pPr>
      <w:r>
        <w:rPr>
          <w:sz w:val="18"/>
        </w:rPr>
        <w:t>National Agreement on Closing the Gap between the Au</w:t>
      </w:r>
      <w:r>
        <w:rPr>
          <w:color w:val="202429"/>
          <w:sz w:val="18"/>
        </w:rPr>
        <w:t>stralian governments and the Coalition of Aboriginal and Torres Strait Islander Peak</w:t>
      </w:r>
      <w:r>
        <w:rPr>
          <w:color w:val="202429"/>
          <w:spacing w:val="-9"/>
          <w:sz w:val="18"/>
        </w:rPr>
        <w:t> </w:t>
      </w:r>
      <w:r>
        <w:rPr>
          <w:color w:val="202429"/>
          <w:sz w:val="18"/>
        </w:rPr>
        <w:t>Organisations</w:t>
      </w:r>
    </w:p>
    <w:p>
      <w:pPr>
        <w:pStyle w:val="ListParagraph"/>
        <w:numPr>
          <w:ilvl w:val="0"/>
          <w:numId w:val="21"/>
        </w:numPr>
        <w:tabs>
          <w:tab w:pos="660" w:val="left" w:leader="none"/>
          <w:tab w:pos="661" w:val="left" w:leader="none"/>
        </w:tabs>
        <w:spacing w:line="240" w:lineRule="auto" w:before="2" w:after="0"/>
        <w:ind w:left="660" w:right="0" w:hanging="361"/>
        <w:jc w:val="left"/>
        <w:rPr>
          <w:sz w:val="18"/>
        </w:rPr>
      </w:pPr>
      <w:r>
        <w:rPr>
          <w:sz w:val="18"/>
        </w:rPr>
        <w:t>Council of Australian Governments Closing the Gap in Indigenous</w:t>
      </w:r>
      <w:r>
        <w:rPr>
          <w:spacing w:val="-12"/>
          <w:sz w:val="18"/>
        </w:rPr>
        <w:t> </w:t>
      </w:r>
      <w:r>
        <w:rPr>
          <w:sz w:val="18"/>
        </w:rPr>
        <w:t>Disadvantage</w:t>
      </w:r>
    </w:p>
    <w:p>
      <w:pPr>
        <w:pStyle w:val="ListParagraph"/>
        <w:numPr>
          <w:ilvl w:val="0"/>
          <w:numId w:val="21"/>
        </w:numPr>
        <w:tabs>
          <w:tab w:pos="660" w:val="left" w:leader="none"/>
          <w:tab w:pos="661" w:val="left" w:leader="none"/>
        </w:tabs>
        <w:spacing w:line="261" w:lineRule="auto" w:before="19" w:after="0"/>
        <w:ind w:left="660" w:right="848" w:hanging="360"/>
        <w:jc w:val="left"/>
        <w:rPr>
          <w:sz w:val="18"/>
        </w:rPr>
      </w:pPr>
      <w:r>
        <w:rPr>
          <w:sz w:val="18"/>
        </w:rPr>
        <w:t>National Framework for Protecting Australia’s Children Third Three Year Action Plan, 2015–18, Driving Change: Intervening</w:t>
      </w:r>
      <w:r>
        <w:rPr>
          <w:spacing w:val="-5"/>
          <w:sz w:val="18"/>
        </w:rPr>
        <w:t> </w:t>
      </w:r>
      <w:r>
        <w:rPr>
          <w:sz w:val="18"/>
        </w:rPr>
        <w:t>Early</w:t>
      </w:r>
    </w:p>
    <w:p>
      <w:pPr>
        <w:pStyle w:val="ListParagraph"/>
        <w:numPr>
          <w:ilvl w:val="0"/>
          <w:numId w:val="21"/>
        </w:numPr>
        <w:tabs>
          <w:tab w:pos="660" w:val="left" w:leader="none"/>
          <w:tab w:pos="661" w:val="left" w:leader="none"/>
        </w:tabs>
        <w:spacing w:line="240" w:lineRule="auto" w:before="2" w:after="0"/>
        <w:ind w:left="660" w:right="0" w:hanging="361"/>
        <w:jc w:val="left"/>
        <w:rPr>
          <w:sz w:val="18"/>
        </w:rPr>
      </w:pPr>
      <w:r>
        <w:rPr>
          <w:sz w:val="18"/>
        </w:rPr>
        <w:t>National Plan to Reduce Violence Against Women and their Children</w:t>
      </w:r>
      <w:r>
        <w:rPr>
          <w:spacing w:val="-9"/>
          <w:sz w:val="18"/>
        </w:rPr>
        <w:t> </w:t>
      </w:r>
      <w:r>
        <w:rPr>
          <w:sz w:val="18"/>
        </w:rPr>
        <w:t>2010–2022</w:t>
      </w:r>
    </w:p>
    <w:p>
      <w:pPr>
        <w:pStyle w:val="ListParagraph"/>
        <w:numPr>
          <w:ilvl w:val="0"/>
          <w:numId w:val="21"/>
        </w:numPr>
        <w:tabs>
          <w:tab w:pos="660" w:val="left" w:leader="none"/>
          <w:tab w:pos="661" w:val="left" w:leader="none"/>
        </w:tabs>
        <w:spacing w:line="240" w:lineRule="auto" w:before="19" w:after="0"/>
        <w:ind w:left="660" w:right="0" w:hanging="361"/>
        <w:jc w:val="left"/>
        <w:rPr>
          <w:sz w:val="18"/>
        </w:rPr>
      </w:pPr>
      <w:r>
        <w:rPr>
          <w:sz w:val="18"/>
        </w:rPr>
        <w:t>National Aboriginal and Torres Strait Islander Education</w:t>
      </w:r>
      <w:r>
        <w:rPr>
          <w:spacing w:val="-5"/>
          <w:sz w:val="18"/>
        </w:rPr>
        <w:t> </w:t>
      </w:r>
      <w:r>
        <w:rPr>
          <w:sz w:val="18"/>
        </w:rPr>
        <w:t>Strategy</w:t>
      </w:r>
    </w:p>
    <w:p>
      <w:pPr>
        <w:pStyle w:val="ListParagraph"/>
        <w:numPr>
          <w:ilvl w:val="0"/>
          <w:numId w:val="21"/>
        </w:numPr>
        <w:tabs>
          <w:tab w:pos="660" w:val="left" w:leader="none"/>
          <w:tab w:pos="661" w:val="left" w:leader="none"/>
        </w:tabs>
        <w:spacing w:line="240" w:lineRule="auto" w:before="20" w:after="0"/>
        <w:ind w:left="660" w:right="0" w:hanging="361"/>
        <w:jc w:val="left"/>
        <w:rPr>
          <w:sz w:val="18"/>
        </w:rPr>
      </w:pPr>
      <w:r>
        <w:rPr>
          <w:sz w:val="18"/>
        </w:rPr>
        <w:t>Belonging, Being and Becoming: The Early Years Learning</w:t>
      </w:r>
      <w:r>
        <w:rPr>
          <w:spacing w:val="-14"/>
          <w:sz w:val="18"/>
        </w:rPr>
        <w:t> </w:t>
      </w:r>
      <w:r>
        <w:rPr>
          <w:sz w:val="18"/>
        </w:rPr>
        <w:t>Framework</w:t>
      </w:r>
    </w:p>
    <w:p>
      <w:pPr>
        <w:spacing w:after="0" w:line="240" w:lineRule="auto"/>
        <w:jc w:val="left"/>
        <w:rPr>
          <w:sz w:val="18"/>
        </w:rPr>
        <w:sectPr>
          <w:pgSz w:w="11910" w:h="16840"/>
          <w:pgMar w:header="650" w:footer="420" w:top="1340" w:bottom="620" w:left="1140" w:right="700"/>
        </w:sectPr>
      </w:pPr>
    </w:p>
    <w:p>
      <w:pPr>
        <w:pStyle w:val="ListParagraph"/>
        <w:numPr>
          <w:ilvl w:val="0"/>
          <w:numId w:val="21"/>
        </w:numPr>
        <w:tabs>
          <w:tab w:pos="660" w:val="left" w:leader="none"/>
          <w:tab w:pos="661" w:val="left" w:leader="none"/>
        </w:tabs>
        <w:spacing w:line="240" w:lineRule="auto" w:before="109" w:after="0"/>
        <w:ind w:left="660" w:right="0" w:hanging="361"/>
        <w:jc w:val="left"/>
        <w:rPr>
          <w:sz w:val="12"/>
        </w:rPr>
      </w:pPr>
      <w:r>
        <w:rPr>
          <w:sz w:val="18"/>
        </w:rPr>
        <w:t>National Disability Insurance</w:t>
      </w:r>
      <w:r>
        <w:rPr>
          <w:spacing w:val="-3"/>
          <w:sz w:val="18"/>
        </w:rPr>
        <w:t> </w:t>
      </w:r>
      <w:r>
        <w:rPr>
          <w:sz w:val="18"/>
        </w:rPr>
        <w:t>Scheme.</w:t>
      </w:r>
      <w:r>
        <w:rPr>
          <w:position w:val="6"/>
          <w:sz w:val="12"/>
        </w:rPr>
        <w:t>8</w:t>
      </w:r>
    </w:p>
    <w:p>
      <w:pPr>
        <w:pStyle w:val="Heading4"/>
        <w:numPr>
          <w:ilvl w:val="3"/>
          <w:numId w:val="17"/>
        </w:numPr>
        <w:tabs>
          <w:tab w:pos="1433" w:val="left" w:leader="none"/>
          <w:tab w:pos="1434" w:val="left" w:leader="none"/>
        </w:tabs>
        <w:spacing w:line="240" w:lineRule="auto" w:before="190" w:after="0"/>
        <w:ind w:left="1433" w:right="0" w:hanging="1134"/>
        <w:jc w:val="left"/>
      </w:pPr>
      <w:r>
        <w:rPr>
          <w:color w:val="75787A"/>
        </w:rPr>
        <w:t>Supporting the national focus on Closing the</w:t>
      </w:r>
      <w:r>
        <w:rPr>
          <w:color w:val="75787A"/>
          <w:spacing w:val="-2"/>
        </w:rPr>
        <w:t> </w:t>
      </w:r>
      <w:r>
        <w:rPr>
          <w:color w:val="75787A"/>
        </w:rPr>
        <w:t>Gap</w:t>
      </w:r>
    </w:p>
    <w:p>
      <w:pPr>
        <w:pStyle w:val="BodyText"/>
        <w:spacing w:line="264" w:lineRule="auto" w:before="21"/>
        <w:ind w:left="300" w:right="821"/>
      </w:pPr>
      <w:r>
        <w:rPr/>
        <w:t>In July 2020, the Australian Government implemented a National Agreement on Closing the Gap (hereby called the National Agreement). The National Agreement recognises that a shift in how government policies and programs are developed is required for significant improvements in Aboriginal and Torres Strait Islander people’ life outcomes. It is the first time a National Agreement has been developed and negotiated in genuine partnership with Aboriginal and Torres Strait Islander peoples. </w:t>
      </w:r>
      <w:r>
        <w:rPr>
          <w:color w:val="202429"/>
        </w:rPr>
        <w:t>The aim of the National Agreement is to enable Aboriginal and Torres Strait Islander peoples and governments to work together to overcome the inequality experienced by Aboriginal and Torres Strait Islander peoples across all life outcomes. The National Agreement contains a specific child protection target to reduce the rate </w:t>
      </w:r>
      <w:r>
        <w:rPr/>
        <w:t>of over-representation of Aboriginal and Torres Strait Islander children in out-of-home care by 45% by 2031. Australian Governments have committed to implement actions which link to four Priority Reforms:</w:t>
      </w:r>
    </w:p>
    <w:p>
      <w:pPr>
        <w:pStyle w:val="ListParagraph"/>
        <w:numPr>
          <w:ilvl w:val="0"/>
          <w:numId w:val="23"/>
        </w:numPr>
        <w:tabs>
          <w:tab w:pos="661" w:val="left" w:leader="none"/>
        </w:tabs>
        <w:spacing w:line="264" w:lineRule="auto" w:before="164" w:after="0"/>
        <w:ind w:left="660" w:right="815" w:hanging="360"/>
        <w:jc w:val="left"/>
        <w:rPr>
          <w:sz w:val="18"/>
        </w:rPr>
      </w:pPr>
      <w:r>
        <w:rPr>
          <w:b/>
          <w:sz w:val="18"/>
        </w:rPr>
        <w:t>Formal partnerships and shared decision making </w:t>
      </w:r>
      <w:r>
        <w:rPr>
          <w:sz w:val="18"/>
        </w:rPr>
        <w:t>– building and strengthening structures that empower Aboriginal and Torres Strait Islander people to share decision making authority with governments to accelerate policy and place-based progress against Closing the</w:t>
      </w:r>
      <w:r>
        <w:rPr>
          <w:spacing w:val="-25"/>
          <w:sz w:val="18"/>
        </w:rPr>
        <w:t> </w:t>
      </w:r>
      <w:r>
        <w:rPr>
          <w:sz w:val="18"/>
        </w:rPr>
        <w:t>Gap.</w:t>
      </w:r>
    </w:p>
    <w:p>
      <w:pPr>
        <w:pStyle w:val="ListParagraph"/>
        <w:numPr>
          <w:ilvl w:val="0"/>
          <w:numId w:val="23"/>
        </w:numPr>
        <w:tabs>
          <w:tab w:pos="661" w:val="left" w:leader="none"/>
        </w:tabs>
        <w:spacing w:line="264" w:lineRule="auto" w:before="0" w:after="0"/>
        <w:ind w:left="660" w:right="1175" w:hanging="360"/>
        <w:jc w:val="left"/>
        <w:rPr>
          <w:sz w:val="18"/>
        </w:rPr>
      </w:pPr>
      <w:r>
        <w:rPr>
          <w:b/>
          <w:sz w:val="18"/>
        </w:rPr>
        <w:t>Building the community-controlled sector </w:t>
      </w:r>
      <w:r>
        <w:rPr>
          <w:sz w:val="18"/>
        </w:rPr>
        <w:t>– Acknowledging that Aboriginal and Torres Strait Islander community-controlled services are better for Aboriginal and Torres Strait Islander people and committing to build the capability and capacity of the Aboriginal and Torres Strait Islander community-controlled</w:t>
      </w:r>
      <w:r>
        <w:rPr>
          <w:spacing w:val="-5"/>
          <w:sz w:val="18"/>
        </w:rPr>
        <w:t> </w:t>
      </w:r>
      <w:r>
        <w:rPr>
          <w:sz w:val="18"/>
        </w:rPr>
        <w:t>sector</w:t>
      </w:r>
    </w:p>
    <w:p>
      <w:pPr>
        <w:pStyle w:val="ListParagraph"/>
        <w:numPr>
          <w:ilvl w:val="0"/>
          <w:numId w:val="23"/>
        </w:numPr>
        <w:tabs>
          <w:tab w:pos="661" w:val="left" w:leader="none"/>
        </w:tabs>
        <w:spacing w:line="264" w:lineRule="auto" w:before="0" w:after="0"/>
        <w:ind w:left="660" w:right="1160" w:hanging="360"/>
        <w:jc w:val="left"/>
        <w:rPr>
          <w:sz w:val="18"/>
        </w:rPr>
      </w:pPr>
      <w:r>
        <w:rPr>
          <w:b/>
          <w:sz w:val="18"/>
        </w:rPr>
        <w:t>Transforming Government organisations </w:t>
      </w:r>
      <w:r>
        <w:rPr>
          <w:sz w:val="18"/>
        </w:rPr>
        <w:t>– committing to systemic and structural transformation of non-Indigenous government organisations to improve accountability and respond to the needs of Aboriginal and Torres Strait Islander</w:t>
      </w:r>
      <w:r>
        <w:rPr>
          <w:spacing w:val="-12"/>
          <w:sz w:val="18"/>
        </w:rPr>
        <w:t> </w:t>
      </w:r>
      <w:r>
        <w:rPr>
          <w:sz w:val="18"/>
        </w:rPr>
        <w:t>people.</w:t>
      </w:r>
    </w:p>
    <w:p>
      <w:pPr>
        <w:pStyle w:val="ListParagraph"/>
        <w:numPr>
          <w:ilvl w:val="0"/>
          <w:numId w:val="23"/>
        </w:numPr>
        <w:tabs>
          <w:tab w:pos="661" w:val="left" w:leader="none"/>
        </w:tabs>
        <w:spacing w:line="264" w:lineRule="auto" w:before="0" w:after="0"/>
        <w:ind w:left="660" w:right="978" w:hanging="360"/>
        <w:jc w:val="left"/>
        <w:rPr>
          <w:sz w:val="18"/>
        </w:rPr>
      </w:pPr>
      <w:r>
        <w:rPr>
          <w:b/>
          <w:sz w:val="18"/>
        </w:rPr>
        <w:t>Shared access to data and information at a regional level</w:t>
      </w:r>
      <w:r>
        <w:rPr>
          <w:sz w:val="18"/>
        </w:rPr>
        <w:t>: Aboriginal and Torres Strait Islander people having access to, and the capability to use, locally-relevant data and information to set and monitor the implementation of efforts to close the gap, their priorities and drive their own</w:t>
      </w:r>
      <w:r>
        <w:rPr>
          <w:spacing w:val="-4"/>
          <w:sz w:val="18"/>
        </w:rPr>
        <w:t> </w:t>
      </w:r>
      <w:r>
        <w:rPr>
          <w:sz w:val="18"/>
        </w:rPr>
        <w:t>development.</w:t>
      </w:r>
    </w:p>
    <w:p>
      <w:pPr>
        <w:pStyle w:val="BodyText"/>
        <w:spacing w:line="264" w:lineRule="auto" w:before="162"/>
        <w:ind w:left="300" w:right="758"/>
      </w:pPr>
      <w:r>
        <w:rPr/>
        <w:t>The Queensland Government is also working in partnership with Aboriginal and Torres Strait Islander peoples through their representatives, at the national, state and local level, to ensure a focus on achieving long-term social and economic outcomes for Queensland’s First Nations peoples. A Closing the Gap Implementation Plan has been developed to document how the Queensland Government is working to address the Priority Reforms and socio-economic targets in the National Agreement, and how progress will be evaluated. The Implementation Plan documents ongoing structural reforms that the Government is implementing to change how decision making is shared with Aboriginal and Torres Strait Islander peoples. Key structural reforms</w:t>
      </w:r>
      <w:r>
        <w:rPr>
          <w:spacing w:val="-18"/>
        </w:rPr>
        <w:t> </w:t>
      </w:r>
      <w:r>
        <w:rPr/>
        <w:t>include:</w:t>
      </w:r>
    </w:p>
    <w:p>
      <w:pPr>
        <w:pStyle w:val="ListParagraph"/>
        <w:numPr>
          <w:ilvl w:val="0"/>
          <w:numId w:val="21"/>
        </w:numPr>
        <w:tabs>
          <w:tab w:pos="660" w:val="left" w:leader="none"/>
          <w:tab w:pos="661" w:val="left" w:leader="none"/>
        </w:tabs>
        <w:spacing w:line="240" w:lineRule="auto" w:before="163" w:after="0"/>
        <w:ind w:left="660" w:right="0" w:hanging="361"/>
        <w:jc w:val="left"/>
        <w:rPr>
          <w:sz w:val="18"/>
        </w:rPr>
      </w:pPr>
      <w:r>
        <w:rPr>
          <w:sz w:val="18"/>
        </w:rPr>
        <w:t>Progressing the Path to Treaty and Local Thriving</w:t>
      </w:r>
      <w:r>
        <w:rPr>
          <w:spacing w:val="-9"/>
          <w:sz w:val="18"/>
        </w:rPr>
        <w:t> </w:t>
      </w:r>
      <w:r>
        <w:rPr>
          <w:sz w:val="18"/>
        </w:rPr>
        <w:t>Communities</w:t>
      </w:r>
    </w:p>
    <w:p>
      <w:pPr>
        <w:pStyle w:val="ListParagraph"/>
        <w:numPr>
          <w:ilvl w:val="0"/>
          <w:numId w:val="21"/>
        </w:numPr>
        <w:tabs>
          <w:tab w:pos="660" w:val="left" w:leader="none"/>
          <w:tab w:pos="661" w:val="left" w:leader="none"/>
        </w:tabs>
        <w:spacing w:line="240" w:lineRule="auto" w:before="19" w:after="0"/>
        <w:ind w:left="660" w:right="0" w:hanging="361"/>
        <w:jc w:val="left"/>
        <w:rPr>
          <w:sz w:val="18"/>
        </w:rPr>
      </w:pPr>
      <w:r>
        <w:rPr>
          <w:sz w:val="18"/>
        </w:rPr>
        <w:t>Establishing the Queensland First Children and Families</w:t>
      </w:r>
      <w:r>
        <w:rPr>
          <w:spacing w:val="-8"/>
          <w:sz w:val="18"/>
        </w:rPr>
        <w:t> </w:t>
      </w:r>
      <w:r>
        <w:rPr>
          <w:sz w:val="18"/>
        </w:rPr>
        <w:t>Board</w:t>
      </w:r>
    </w:p>
    <w:p>
      <w:pPr>
        <w:pStyle w:val="ListParagraph"/>
        <w:numPr>
          <w:ilvl w:val="0"/>
          <w:numId w:val="21"/>
        </w:numPr>
        <w:tabs>
          <w:tab w:pos="660" w:val="left" w:leader="none"/>
          <w:tab w:pos="661" w:val="left" w:leader="none"/>
        </w:tabs>
        <w:spacing w:line="261" w:lineRule="auto" w:before="20" w:after="0"/>
        <w:ind w:left="660" w:right="1076" w:hanging="360"/>
        <w:jc w:val="left"/>
        <w:rPr>
          <w:sz w:val="18"/>
        </w:rPr>
      </w:pPr>
      <w:r>
        <w:rPr>
          <w:sz w:val="18"/>
        </w:rPr>
        <w:t>Developing Queensland’s Framework for Action – Reshaping our approach to Aboriginal and Torres Strait Islander Domestic and Family</w:t>
      </w:r>
      <w:r>
        <w:rPr>
          <w:spacing w:val="-7"/>
          <w:sz w:val="18"/>
        </w:rPr>
        <w:t> </w:t>
      </w:r>
      <w:r>
        <w:rPr>
          <w:sz w:val="18"/>
        </w:rPr>
        <w:t>Violence</w:t>
      </w:r>
    </w:p>
    <w:p>
      <w:pPr>
        <w:pStyle w:val="ListParagraph"/>
        <w:numPr>
          <w:ilvl w:val="0"/>
          <w:numId w:val="21"/>
        </w:numPr>
        <w:tabs>
          <w:tab w:pos="660" w:val="left" w:leader="none"/>
          <w:tab w:pos="661" w:val="left" w:leader="none"/>
        </w:tabs>
        <w:spacing w:line="240" w:lineRule="auto" w:before="1" w:after="0"/>
        <w:ind w:left="660" w:right="0" w:hanging="361"/>
        <w:jc w:val="left"/>
        <w:rPr>
          <w:sz w:val="18"/>
        </w:rPr>
      </w:pPr>
      <w:r>
        <w:rPr>
          <w:sz w:val="18"/>
        </w:rPr>
        <w:t>Developing the First Nations health equity reform</w:t>
      </w:r>
      <w:r>
        <w:rPr>
          <w:spacing w:val="-8"/>
          <w:sz w:val="18"/>
        </w:rPr>
        <w:t> </w:t>
      </w:r>
      <w:r>
        <w:rPr>
          <w:sz w:val="18"/>
        </w:rPr>
        <w:t>agenda.</w:t>
      </w:r>
    </w:p>
    <w:p>
      <w:pPr>
        <w:pStyle w:val="BodyText"/>
        <w:spacing w:line="264" w:lineRule="auto" w:before="190"/>
        <w:ind w:left="300" w:right="794"/>
      </w:pPr>
      <w:r>
        <w:rPr/>
        <w:t>The key Priority Reforms and outcomes articulated in the National Agreement are aligned with </w:t>
      </w:r>
      <w:r>
        <w:rPr>
          <w:i/>
        </w:rPr>
        <w:t>Our </w:t>
      </w:r>
      <w:r>
        <w:rPr>
          <w:i/>
        </w:rPr>
        <w:t>Way</w:t>
      </w:r>
      <w:r>
        <w:rPr/>
        <w:t>. There is therefore an opportunity to consider how to align both national and state-level reforms – particularly in relation to building the community-controlled sector and transforming Government organisations. This is explored further in Chapter </w:t>
      </w:r>
      <w:hyperlink w:history="true" w:anchor="_bookmark81">
        <w:r>
          <w:rPr/>
          <w:t>6 </w:t>
        </w:r>
      </w:hyperlink>
      <w:r>
        <w:rPr/>
        <w:t>– Changing the </w:t>
      </w:r>
      <w:r>
        <w:rPr>
          <w:i/>
        </w:rPr>
        <w:t>Our Way </w:t>
      </w:r>
      <w:r>
        <w:rPr/>
        <w:t>system.</w:t>
      </w:r>
    </w:p>
    <w:p>
      <w:pPr>
        <w:pStyle w:val="Heading4"/>
        <w:numPr>
          <w:ilvl w:val="2"/>
          <w:numId w:val="17"/>
        </w:numPr>
        <w:tabs>
          <w:tab w:pos="1320" w:val="left" w:leader="none"/>
          <w:tab w:pos="1321" w:val="left" w:leader="none"/>
        </w:tabs>
        <w:spacing w:line="240" w:lineRule="auto" w:before="168" w:after="0"/>
        <w:ind w:left="1320" w:right="0" w:hanging="1021"/>
        <w:jc w:val="left"/>
      </w:pPr>
      <w:bookmarkStart w:name="_bookmark24" w:id="33"/>
      <w:bookmarkEnd w:id="33"/>
      <w:r>
        <w:rPr>
          <w:b w:val="0"/>
        </w:rPr>
      </w:r>
      <w:bookmarkStart w:name="_bookmark24" w:id="34"/>
      <w:bookmarkEnd w:id="34"/>
      <w:r>
        <w:rPr/>
        <w:t>C</w:t>
      </w:r>
      <w:r>
        <w:rPr/>
        <w:t>ontext of disruptions in recent</w:t>
      </w:r>
      <w:r>
        <w:rPr>
          <w:spacing w:val="-3"/>
        </w:rPr>
        <w:t> </w:t>
      </w:r>
      <w:r>
        <w:rPr/>
        <w:t>years</w:t>
      </w:r>
    </w:p>
    <w:p>
      <w:pPr>
        <w:pStyle w:val="BodyText"/>
        <w:spacing w:line="264" w:lineRule="auto" w:before="21"/>
        <w:ind w:left="300" w:right="733"/>
      </w:pPr>
      <w:r>
        <w:rPr/>
        <w:t>The time period in which the </w:t>
      </w:r>
      <w:r>
        <w:rPr>
          <w:i/>
        </w:rPr>
        <w:t>Changing Tracks </w:t>
      </w:r>
      <w:r>
        <w:rPr/>
        <w:t>action plans were implemented (2017-2022) coincided with significant external challenges to the operating environment. In particular, the recent floods, impact of the COVID-19 pandemic and the 2019 summer bushfires have significantly impacted service delivery. As described by Family Matters</w:t>
      </w:r>
      <w:r>
        <w:rPr>
          <w:position w:val="6"/>
          <w:sz w:val="12"/>
        </w:rPr>
        <w:t>9</w:t>
      </w:r>
      <w:r>
        <w:rPr/>
        <w:t>:</w:t>
      </w:r>
    </w:p>
    <w:p>
      <w:pPr>
        <w:pStyle w:val="BodyText"/>
        <w:spacing w:before="9"/>
        <w:rPr>
          <w:sz w:val="27"/>
        </w:rPr>
      </w:pPr>
      <w:r>
        <w:rPr/>
        <w:pict>
          <v:shape style="position:absolute;margin-left:72.024002pt;margin-top:19.057734pt;width:144.050pt;height:.1pt;mso-position-horizontal-relative:page;mso-position-vertical-relative:paragraph;z-index:-251560960;mso-wrap-distance-left:0;mso-wrap-distance-right:0" coordorigin="1440,381" coordsize="2881,0" path="m1440,381l4321,381e" filled="false" stroked="true" strokeweight=".48004pt" strokecolor="#000000">
            <v:path arrowok="t"/>
            <v:stroke dashstyle="solid"/>
            <w10:wrap type="topAndBottom"/>
          </v:shape>
        </w:pict>
      </w:r>
    </w:p>
    <w:p>
      <w:pPr>
        <w:pStyle w:val="BodyText"/>
        <w:spacing w:before="7"/>
        <w:rPr>
          <w:sz w:val="10"/>
        </w:rPr>
      </w:pPr>
    </w:p>
    <w:p>
      <w:pPr>
        <w:spacing w:before="102"/>
        <w:ind w:left="300" w:right="0" w:firstLine="0"/>
        <w:jc w:val="left"/>
        <w:rPr>
          <w:sz w:val="14"/>
        </w:rPr>
      </w:pPr>
      <w:r>
        <w:rPr>
          <w:position w:val="5"/>
          <w:sz w:val="9"/>
        </w:rPr>
        <w:t>8 </w:t>
      </w:r>
      <w:hyperlink r:id="rId61">
        <w:r>
          <w:rPr>
            <w:color w:val="00A2DF"/>
            <w:sz w:val="14"/>
            <w:u w:val="single" w:color="00A2DF"/>
          </w:rPr>
          <w:t>https://www.cyjma.qld.gov.au/resources/campaign/supporting-families/our-way.pdf</w:t>
        </w:r>
        <w:r>
          <w:rPr>
            <w:sz w:val="14"/>
          </w:rPr>
          <w:t>.</w:t>
        </w:r>
      </w:hyperlink>
    </w:p>
    <w:p>
      <w:pPr>
        <w:spacing w:before="0"/>
        <w:ind w:left="300" w:right="909" w:firstLine="0"/>
        <w:jc w:val="left"/>
        <w:rPr>
          <w:sz w:val="14"/>
        </w:rPr>
      </w:pPr>
      <w:r>
        <w:rPr>
          <w:position w:val="5"/>
          <w:sz w:val="9"/>
        </w:rPr>
        <w:t>9 </w:t>
      </w:r>
      <w:r>
        <w:rPr>
          <w:sz w:val="14"/>
        </w:rPr>
        <w:t>Family Matters (2021) The Family Matters Report 2021 – Measuring trends to turn the tide on the over-representation of Aboriginal and Torres Strait Islander children in out-of-home care in Australia</w:t>
      </w:r>
    </w:p>
    <w:p>
      <w:pPr>
        <w:spacing w:after="0"/>
        <w:jc w:val="left"/>
        <w:rPr>
          <w:sz w:val="14"/>
        </w:rPr>
        <w:sectPr>
          <w:pgSz w:w="11910" w:h="16840"/>
          <w:pgMar w:header="650" w:footer="420" w:top="1340" w:bottom="620" w:left="1140" w:right="700"/>
        </w:sectPr>
      </w:pPr>
    </w:p>
    <w:p>
      <w:pPr>
        <w:spacing w:line="264" w:lineRule="auto" w:before="109"/>
        <w:ind w:left="300" w:right="767" w:firstLine="0"/>
        <w:jc w:val="left"/>
        <w:rPr>
          <w:i/>
          <w:sz w:val="18"/>
        </w:rPr>
      </w:pPr>
      <w:r>
        <w:rPr>
          <w:i/>
          <w:color w:val="85BB24"/>
          <w:sz w:val="18"/>
        </w:rPr>
        <w:t>“Aboriginal and Torres Strait Islander children and their families have been disproportionately </w:t>
      </w:r>
      <w:r>
        <w:rPr>
          <w:i/>
          <w:color w:val="85BB24"/>
          <w:sz w:val="18"/>
        </w:rPr>
        <w:t>impacted by the COVID-19 pandemic, and the social and economic ramifications of the pandemic will be felt in the years to come. While the Australian Government has recognised that Aboriginal and Torres Strait Islander people are at greater risk from COVID-19 than non-Indigenous people, these risks extend well beyond the health threat posed by the virus itself, to higher vulnerability to social and economic impacts due to pre-existing levels of disadvantage. This has had significant flow-on effects for many Aboriginal and Torres Strait Islander children and families.”</w:t>
      </w:r>
    </w:p>
    <w:p>
      <w:pPr>
        <w:pStyle w:val="BodyText"/>
        <w:spacing w:line="264" w:lineRule="auto" w:before="166"/>
        <w:ind w:left="300" w:right="1144"/>
      </w:pPr>
      <w:r>
        <w:rPr/>
        <w:t>The Baseline Report found that travel restrictions due to COVID-19 impacted service delivery, including the ability to connect with communities and participate in cultural activities. This is consistent with recent consultations with stakeholders, who cited themes of delayed implementation of reforms due to the inability to directly engage Aboriginal and Torres Strait Islander communities (a core component of these reforms). In its 2021 annual report, Family Matters also noted that COVID-19 has exacerbated existing flaws within systems that impact Aboriginal and Torres Strait Islander families. In reviewing this evaluation’s key findings, there should also be consideration of these challenging contexts.</w:t>
      </w:r>
    </w:p>
    <w:p>
      <w:pPr>
        <w:spacing w:after="0" w:line="264" w:lineRule="auto"/>
        <w:sectPr>
          <w:pgSz w:w="11910" w:h="16840"/>
          <w:pgMar w:header="650" w:footer="420" w:top="1340" w:bottom="620" w:left="1140" w:right="700"/>
        </w:sectPr>
      </w:pPr>
    </w:p>
    <w:p>
      <w:pPr>
        <w:pStyle w:val="Heading1"/>
        <w:numPr>
          <w:ilvl w:val="0"/>
          <w:numId w:val="24"/>
        </w:numPr>
        <w:tabs>
          <w:tab w:pos="1094" w:val="left" w:leader="none"/>
          <w:tab w:pos="1095" w:val="left" w:leader="none"/>
        </w:tabs>
        <w:spacing w:line="240" w:lineRule="auto" w:before="90" w:after="0"/>
        <w:ind w:left="1094" w:right="0" w:hanging="795"/>
        <w:jc w:val="left"/>
      </w:pPr>
      <w:bookmarkStart w:name="_bookmark25" w:id="35"/>
      <w:bookmarkEnd w:id="35"/>
      <w:r>
        <w:rPr/>
      </w:r>
      <w:bookmarkStart w:name="_bookmark25" w:id="36"/>
      <w:bookmarkEnd w:id="36"/>
      <w:r>
        <w:rPr/>
        <w:t>Appr</w:t>
      </w:r>
      <w:r>
        <w:rPr/>
        <w:t>oach</w:t>
      </w:r>
    </w:p>
    <w:p>
      <w:pPr>
        <w:spacing w:line="264" w:lineRule="auto" w:before="499"/>
        <w:ind w:left="300" w:right="1306" w:firstLine="0"/>
        <w:jc w:val="left"/>
        <w:rPr>
          <w:i/>
          <w:sz w:val="18"/>
        </w:rPr>
      </w:pPr>
      <w:r>
        <w:rPr>
          <w:i/>
          <w:sz w:val="18"/>
        </w:rPr>
        <w:t>This section of the report provides a brief summary of the evaluation approach, including the </w:t>
      </w:r>
      <w:r>
        <w:rPr>
          <w:i/>
          <w:sz w:val="18"/>
        </w:rPr>
        <w:t>rationale underpinning the need for a systems-level evaluation.</w:t>
      </w:r>
    </w:p>
    <w:p>
      <w:pPr>
        <w:pStyle w:val="BodyText"/>
        <w:spacing w:before="11"/>
        <w:rPr>
          <w:i/>
        </w:rPr>
      </w:pPr>
    </w:p>
    <w:p>
      <w:pPr>
        <w:pStyle w:val="Heading2"/>
        <w:numPr>
          <w:ilvl w:val="1"/>
          <w:numId w:val="24"/>
        </w:numPr>
        <w:tabs>
          <w:tab w:pos="1293" w:val="left" w:leader="none"/>
          <w:tab w:pos="1294" w:val="left" w:leader="none"/>
        </w:tabs>
        <w:spacing w:line="240" w:lineRule="auto" w:before="0" w:after="0"/>
        <w:ind w:left="1294" w:right="0" w:hanging="994"/>
        <w:jc w:val="left"/>
      </w:pPr>
      <w:bookmarkStart w:name="_bookmark26" w:id="37"/>
      <w:bookmarkEnd w:id="37"/>
      <w:r>
        <w:rPr>
          <w:b w:val="0"/>
        </w:rPr>
      </w:r>
      <w:bookmarkStart w:name="_bookmark26" w:id="38"/>
      <w:bookmarkEnd w:id="38"/>
      <w:r>
        <w:rPr>
          <w:color w:val="61B5E4"/>
        </w:rPr>
        <w:t>Over</w:t>
      </w:r>
      <w:r>
        <w:rPr>
          <w:color w:val="61B5E4"/>
        </w:rPr>
        <w:t>view of evaluation approach and findings to</w:t>
      </w:r>
      <w:r>
        <w:rPr>
          <w:color w:val="61B5E4"/>
          <w:spacing w:val="-11"/>
        </w:rPr>
        <w:t> </w:t>
      </w:r>
      <w:r>
        <w:rPr>
          <w:color w:val="61B5E4"/>
        </w:rPr>
        <w:t>date</w:t>
      </w:r>
    </w:p>
    <w:p>
      <w:pPr>
        <w:pStyle w:val="Heading4"/>
        <w:numPr>
          <w:ilvl w:val="2"/>
          <w:numId w:val="24"/>
        </w:numPr>
        <w:tabs>
          <w:tab w:pos="1320" w:val="left" w:leader="none"/>
          <w:tab w:pos="1321" w:val="left" w:leader="none"/>
        </w:tabs>
        <w:spacing w:line="240" w:lineRule="auto" w:before="20" w:after="0"/>
        <w:ind w:left="1320" w:right="0" w:hanging="1021"/>
        <w:jc w:val="left"/>
      </w:pPr>
      <w:bookmarkStart w:name="_bookmark27" w:id="39"/>
      <w:bookmarkEnd w:id="39"/>
      <w:r>
        <w:rPr>
          <w:b w:val="0"/>
        </w:rPr>
      </w:r>
      <w:bookmarkStart w:name="_bookmark27" w:id="40"/>
      <w:bookmarkEnd w:id="40"/>
      <w:r>
        <w:rPr/>
        <w:t>E</w:t>
      </w:r>
      <w:r>
        <w:rPr/>
        <w:t>valuation</w:t>
      </w:r>
      <w:r>
        <w:rPr>
          <w:spacing w:val="-2"/>
        </w:rPr>
        <w:t> </w:t>
      </w:r>
      <w:r>
        <w:rPr/>
        <w:t>timelines</w:t>
      </w:r>
    </w:p>
    <w:p>
      <w:pPr>
        <w:pStyle w:val="BodyText"/>
        <w:spacing w:line="264" w:lineRule="auto" w:before="21"/>
        <w:ind w:left="300" w:right="891"/>
      </w:pPr>
      <w:r>
        <w:rPr/>
        <w:t>Deloitte Access Economics, Murawin and the Social Research Centre have been commissioned by DCYJMA to evaluate progress made by </w:t>
      </w:r>
      <w:r>
        <w:rPr>
          <w:i/>
        </w:rPr>
        <w:t>Our Way </w:t>
      </w:r>
      <w:r>
        <w:rPr/>
        <w:t>and the </w:t>
      </w:r>
      <w:r>
        <w:rPr>
          <w:i/>
        </w:rPr>
        <w:t>Changing Tracks </w:t>
      </w:r>
      <w:r>
        <w:rPr/>
        <w:t>Action Plans. As illustrated in </w:t>
      </w:r>
      <w:hyperlink w:history="true" w:anchor="_bookmark28">
        <w:r>
          <w:rPr/>
          <w:t>Figure 3.1</w:t>
        </w:r>
      </w:hyperlink>
      <w:r>
        <w:rPr/>
        <w:t>, the evaluation consists of two main phases. In the first phase, the evaluation involved project planning in mid-2020, two phases of annual progress reporting (2020 and 2021). The second phase of the evaluation is a systems level evaluation, which culminates in the delivery of a final evaluation report (this report) in 2022.</w:t>
      </w:r>
    </w:p>
    <w:p>
      <w:pPr>
        <w:spacing w:before="180"/>
        <w:ind w:left="316" w:right="0" w:firstLine="0"/>
        <w:jc w:val="left"/>
        <w:rPr>
          <w:sz w:val="17"/>
        </w:rPr>
      </w:pPr>
      <w:r>
        <w:rPr>
          <w:position w:val="-3"/>
        </w:rPr>
        <w:drawing>
          <wp:inline distT="0" distB="0" distL="0" distR="0">
            <wp:extent cx="532618" cy="104228"/>
            <wp:effectExtent l="0" t="0" r="0" b="0"/>
            <wp:docPr id="31" name="image38.png"/>
            <wp:cNvGraphicFramePr>
              <a:graphicFrameLocks noChangeAspect="1"/>
            </wp:cNvGraphicFramePr>
            <a:graphic>
              <a:graphicData uri="http://schemas.openxmlformats.org/drawingml/2006/picture">
                <pic:pic>
                  <pic:nvPicPr>
                    <pic:cNvPr id="32" name="image38.png"/>
                    <pic:cNvPicPr/>
                  </pic:nvPicPr>
                  <pic:blipFill>
                    <a:blip r:embed="rId62" cstate="print"/>
                    <a:stretch>
                      <a:fillRect/>
                    </a:stretch>
                  </pic:blipFill>
                  <pic:spPr>
                    <a:xfrm>
                      <a:off x="0" y="0"/>
                      <a:ext cx="532618" cy="104228"/>
                    </a:xfrm>
                    <a:prstGeom prst="rect">
                      <a:avLst/>
                    </a:prstGeom>
                  </pic:spPr>
                </pic:pic>
              </a:graphicData>
            </a:graphic>
          </wp:inline>
        </w:drawing>
      </w:r>
      <w:r>
        <w:rPr>
          <w:position w:val="-3"/>
        </w:rPr>
      </w:r>
      <w:r>
        <w:rPr>
          <w:rFonts w:ascii="Times New Roman"/>
          <w:spacing w:val="23"/>
          <w:sz w:val="20"/>
        </w:rPr>
        <w:t> </w:t>
      </w:r>
      <w:bookmarkStart w:name="_bookmark28" w:id="41"/>
      <w:bookmarkEnd w:id="41"/>
      <w:r>
        <w:rPr>
          <w:rFonts w:ascii="Times New Roman"/>
          <w:spacing w:val="23"/>
          <w:sz w:val="20"/>
        </w:rPr>
      </w:r>
      <w:r>
        <w:rPr>
          <w:color w:val="75787A"/>
          <w:sz w:val="17"/>
        </w:rPr>
        <w:t>Overview of evaluation</w:t>
      </w:r>
      <w:r>
        <w:rPr>
          <w:color w:val="75787A"/>
          <w:spacing w:val="-1"/>
          <w:sz w:val="17"/>
        </w:rPr>
        <w:t> </w:t>
      </w:r>
      <w:r>
        <w:rPr>
          <w:color w:val="75787A"/>
          <w:sz w:val="17"/>
        </w:rPr>
        <w:t>timelines</w:t>
      </w:r>
    </w:p>
    <w:p>
      <w:pPr>
        <w:pStyle w:val="BodyText"/>
        <w:spacing w:before="4"/>
        <w:rPr>
          <w:sz w:val="16"/>
        </w:rPr>
      </w:pPr>
      <w:r>
        <w:rPr/>
        <w:pict>
          <v:group style="position:absolute;margin-left:72.054985pt;margin-top:11.917579pt;width:444.7pt;height:201.5pt;mso-position-horizontal-relative:page;mso-position-vertical-relative:paragraph;z-index:-251548672;mso-wrap-distance-left:0;mso-wrap-distance-right:0" coordorigin="1441,238" coordsize="8894,4030">
            <v:line style="position:absolute" from="1442,2418" to="9841,2418" stroked="true" strokeweight=".968639pt" strokecolor="#bebebe">
              <v:stroke dashstyle="solid"/>
            </v:line>
            <v:shape style="position:absolute;left:4361;top:2033;width:771;height:769" coordorigin="4362,2033" coordsize="771,769" path="m4747,2033l4669,2041,4597,2063,4531,2099,4474,2146,4427,2203,4392,2268,4369,2340,4362,2418,4369,2495,4392,2567,4427,2632,4474,2689,4531,2736,4597,2772,4669,2794,4747,2802,4824,2794,4896,2772,4962,2736,5019,2689,5066,2632,5101,2567,5124,2495,5132,2418,5124,2340,5101,2268,5066,2203,5019,2146,4962,2099,4896,2063,4824,2041,4747,2033xe" filled="true" fillcolor="#6fac46" stroked="false">
              <v:path arrowok="t"/>
              <v:fill type="solid"/>
            </v:shape>
            <v:shape style="position:absolute;left:7280;top:2033;width:771;height:769" coordorigin="7280,2033" coordsize="771,769" path="m7666,2033l7588,2041,7516,2063,7450,2099,7393,2146,7346,2203,7311,2268,7288,2340,7280,2418,7288,2495,7311,2567,7346,2632,7393,2689,7450,2736,7516,2772,7588,2794,7666,2802,7743,2794,7815,2772,7881,2736,7938,2689,7985,2632,8020,2567,8043,2495,8051,2418,8043,2340,8020,2268,7985,2203,7938,2146,7881,2099,7815,2063,7743,2041,7666,2033xe" filled="true" fillcolor="#5b9bd4" stroked="false">
              <v:path arrowok="t"/>
              <v:fill type="solid"/>
            </v:shape>
            <v:rect style="position:absolute;left:2967;top:2234;width:20;height:20" filled="true" fillcolor="#bebebe" stroked="false">
              <v:fill type="solid"/>
            </v:rect>
            <v:rect style="position:absolute;left:2967;top:2195;width:20;height:20" filled="true" fillcolor="#bebebe" stroked="false">
              <v:fill type="solid"/>
            </v:rect>
            <v:rect style="position:absolute;left:2967;top:2156;width:20;height:20" filled="true" fillcolor="#bebebe" stroked="false">
              <v:fill type="solid"/>
            </v:rect>
            <v:rect style="position:absolute;left:2967;top:2117;width:20;height:20" filled="true" fillcolor="#bebebe" stroked="false">
              <v:fill type="solid"/>
            </v:rect>
            <v:rect style="position:absolute;left:2967;top:2079;width:20;height:20" filled="true" fillcolor="#bebebe" stroked="false">
              <v:fill type="solid"/>
            </v:rect>
            <v:rect style="position:absolute;left:2967;top:2040;width:20;height:20" filled="true" fillcolor="#bebebe" stroked="false">
              <v:fill type="solid"/>
            </v:rect>
            <v:rect style="position:absolute;left:2967;top:2001;width:20;height:20" filled="true" fillcolor="#bebebe" stroked="false">
              <v:fill type="solid"/>
            </v:rect>
            <v:rect style="position:absolute;left:2967;top:1962;width:20;height:20" filled="true" fillcolor="#bebebe" stroked="false">
              <v:fill type="solid"/>
            </v:rect>
            <v:rect style="position:absolute;left:2967;top:1924;width:20;height:20" filled="true" fillcolor="#bebebe" stroked="false">
              <v:fill type="solid"/>
            </v:rect>
            <v:rect style="position:absolute;left:2967;top:1885;width:20;height:20" filled="true" fillcolor="#bebebe" stroked="false">
              <v:fill type="solid"/>
            </v:rect>
            <v:rect style="position:absolute;left:2967;top:1846;width:20;height:20" filled="true" fillcolor="#bebebe" stroked="false">
              <v:fill type="solid"/>
            </v:rect>
            <v:rect style="position:absolute;left:2967;top:1807;width:20;height:20" filled="true" fillcolor="#bebebe" stroked="false">
              <v:fill type="solid"/>
            </v:rect>
            <v:rect style="position:absolute;left:2967;top:1769;width:20;height:20" filled="true" fillcolor="#bebebe" stroked="false">
              <v:fill type="solid"/>
            </v:rect>
            <v:rect style="position:absolute;left:2967;top:1730;width:20;height:20" filled="true" fillcolor="#bebebe" stroked="false">
              <v:fill type="solid"/>
            </v:rect>
            <v:rect style="position:absolute;left:2967;top:1691;width:20;height:20" filled="true" fillcolor="#bebebe" stroked="false">
              <v:fill type="solid"/>
            </v:rect>
            <v:rect style="position:absolute;left:2967;top:1652;width:20;height:20" filled="true" fillcolor="#bebebe" stroked="false">
              <v:fill type="solid"/>
            </v:rect>
            <v:rect style="position:absolute;left:2967;top:1614;width:20;height:20" filled="true" fillcolor="#bebebe" stroked="false">
              <v:fill type="solid"/>
            </v:rect>
            <v:rect style="position:absolute;left:2967;top:1575;width:20;height:20" filled="true" fillcolor="#bebebe" stroked="false">
              <v:fill type="solid"/>
            </v:rect>
            <v:rect style="position:absolute;left:2967;top:1536;width:20;height:20" filled="true" fillcolor="#bebebe" stroked="false">
              <v:fill type="solid"/>
            </v:rect>
            <v:rect style="position:absolute;left:2967;top:1497;width:20;height:20" filled="true" fillcolor="#bebebe" stroked="false">
              <v:fill type="solid"/>
            </v:rect>
            <v:rect style="position:absolute;left:2967;top:1459;width:20;height:20" filled="true" fillcolor="#bebebe" stroked="false">
              <v:fill type="solid"/>
            </v:rect>
            <v:rect style="position:absolute;left:2967;top:1420;width:20;height:20" filled="true" fillcolor="#bebebe" stroked="false">
              <v:fill type="solid"/>
            </v:rect>
            <v:rect style="position:absolute;left:2967;top:1381;width:20;height:20" filled="true" fillcolor="#bebebe" stroked="false">
              <v:fill type="solid"/>
            </v:rect>
            <v:rect style="position:absolute;left:2967;top:1342;width:20;height:20" filled="true" fillcolor="#bebebe" stroked="false">
              <v:fill type="solid"/>
            </v:rect>
            <v:rect style="position:absolute;left:2967;top:1304;width:20;height:20" filled="true" fillcolor="#bebebe" stroked="false">
              <v:fill type="solid"/>
            </v:rect>
            <v:rect style="position:absolute;left:2967;top:1265;width:20;height:20" filled="true" fillcolor="#bebebe" stroked="false">
              <v:fill type="solid"/>
            </v:rect>
            <v:rect style="position:absolute;left:2967;top:1226;width:20;height:20" filled="true" fillcolor="#bebebe" stroked="false">
              <v:fill type="solid"/>
            </v:rect>
            <v:rect style="position:absolute;left:2967;top:1187;width:20;height:20" filled="true" fillcolor="#bebebe" stroked="false">
              <v:fill type="solid"/>
            </v:rect>
            <v:rect style="position:absolute;left:2967;top:1149;width:20;height:20" filled="true" fillcolor="#bebebe" stroked="false">
              <v:fill type="solid"/>
            </v:rect>
            <v:rect style="position:absolute;left:2967;top:1110;width:20;height:20" filled="true" fillcolor="#bebebe" stroked="false">
              <v:fill type="solid"/>
            </v:rect>
            <v:rect style="position:absolute;left:2967;top:1071;width:20;height:20" filled="true" fillcolor="#bebebe" stroked="false">
              <v:fill type="solid"/>
            </v:rect>
            <v:rect style="position:absolute;left:2967;top:1032;width:20;height:20" filled="true" fillcolor="#bebebe" stroked="false">
              <v:fill type="solid"/>
            </v:rect>
            <v:rect style="position:absolute;left:2967;top:994;width:20;height:20" filled="true" fillcolor="#bebebe" stroked="false">
              <v:fill type="solid"/>
            </v:rect>
            <v:rect style="position:absolute;left:2967;top:955;width:20;height:20" filled="true" fillcolor="#bebebe" stroked="false">
              <v:fill type="solid"/>
            </v:rect>
            <v:rect style="position:absolute;left:2967;top:916;width:20;height:20" filled="true" fillcolor="#bebebe" stroked="false">
              <v:fill type="solid"/>
            </v:rect>
            <v:shape style="position:absolute;left:2812;top:2253;width:331;height:329" coordorigin="2812,2253" coordsize="331,329" path="m2977,2253l2913,2266,2860,2301,2825,2354,2812,2418,2825,2482,2860,2534,2913,2569,2977,2582,3042,2569,3094,2534,3130,2482,3143,2418,3130,2354,3094,2301,3042,2266,2977,2253xe" filled="true" fillcolor="#6fac46" stroked="false">
              <v:path arrowok="t"/>
              <v:fill type="solid"/>
            </v:shape>
            <v:shape style="position:absolute;left:3193;top:2253;width:330;height:329" coordorigin="3194,2253" coordsize="330,329" path="m3359,2253l3295,2266,3242,2301,3207,2354,3194,2418,3207,2482,3242,2534,3295,2569,3359,2582,3423,2569,3475,2534,3510,2482,3523,2418,3510,2354,3475,2301,3423,2266,3359,2253xe" filled="true" fillcolor="#6fac46" stroked="false">
              <v:path arrowok="t"/>
              <v:fill type="solid"/>
            </v:shape>
            <v:shape style="position:absolute;left:3815;top:2253;width:330;height:329" coordorigin="3815,2253" coordsize="330,329" path="m3980,2253l3916,2266,3863,2301,3828,2354,3815,2418,3828,2482,3863,2534,3916,2569,3980,2582,4044,2569,4096,2534,4131,2482,4144,2418,4131,2354,4096,2301,4044,2266,3980,2253xe" filled="true" fillcolor="#6fac46" stroked="false">
              <v:path arrowok="t"/>
              <v:fill type="solid"/>
            </v:shape>
            <v:shape style="position:absolute;left:6206;top:2253;width:331;height:329" coordorigin="6206,2253" coordsize="331,329" path="m6371,2253l6307,2266,6255,2301,6219,2354,6206,2418,6219,2482,6255,2534,6307,2569,6371,2582,6436,2569,6488,2534,6524,2482,6537,2418,6524,2354,6488,2301,6436,2266,6371,2253xe" filled="true" fillcolor="#6fac46" stroked="false">
              <v:path arrowok="t"/>
              <v:fill type="solid"/>
            </v:shape>
            <v:shape style="position:absolute;left:6869;top:2253;width:330;height:329" coordorigin="6869,2253" coordsize="330,329" path="m7034,2253l6970,2266,6917,2301,6882,2354,6869,2418,6882,2482,6917,2534,6970,2569,7034,2582,7098,2569,7150,2534,7185,2482,7198,2418,7185,2354,7150,2301,7098,2266,7034,2253xe" filled="true" fillcolor="#6fac46" stroked="false">
              <v:path arrowok="t"/>
              <v:fill type="solid"/>
            </v:shape>
            <v:shape style="position:absolute;left:9052;top:2253;width:331;height:329" coordorigin="9052,2253" coordsize="331,329" path="m9217,2253l9153,2266,9101,2301,9065,2354,9052,2418,9065,2482,9101,2534,9153,2569,9217,2582,9282,2569,9334,2534,9370,2482,9383,2418,9370,2354,9334,2301,9282,2266,9217,2253xe" filled="true" fillcolor="#5b9bd4" stroked="false">
              <v:path arrowok="t"/>
              <v:fill type="solid"/>
            </v:shape>
            <v:rect style="position:absolute;left:3349;top:3907;width:20;height:20" filled="true" fillcolor="#bebebe" stroked="false">
              <v:fill type="solid"/>
            </v:rect>
            <v:rect style="position:absolute;left:3349;top:3869;width:20;height:20" filled="true" fillcolor="#bebebe" stroked="false">
              <v:fill type="solid"/>
            </v:rect>
            <v:rect style="position:absolute;left:3349;top:3830;width:20;height:20" filled="true" fillcolor="#bebebe" stroked="false">
              <v:fill type="solid"/>
            </v:rect>
            <v:rect style="position:absolute;left:3349;top:3791;width:20;height:20" filled="true" fillcolor="#bebebe" stroked="false">
              <v:fill type="solid"/>
            </v:rect>
            <v:rect style="position:absolute;left:3349;top:3752;width:20;height:20" filled="true" fillcolor="#bebebe" stroked="false">
              <v:fill type="solid"/>
            </v:rect>
            <v:rect style="position:absolute;left:3349;top:3714;width:20;height:20" filled="true" fillcolor="#bebebe" stroked="false">
              <v:fill type="solid"/>
            </v:rect>
            <v:rect style="position:absolute;left:3349;top:3675;width:20;height:20" filled="true" fillcolor="#bebebe" stroked="false">
              <v:fill type="solid"/>
            </v:rect>
            <v:rect style="position:absolute;left:3349;top:3636;width:20;height:20" filled="true" fillcolor="#bebebe" stroked="false">
              <v:fill type="solid"/>
            </v:rect>
            <v:rect style="position:absolute;left:3349;top:3597;width:20;height:20" filled="true" fillcolor="#bebebe" stroked="false">
              <v:fill type="solid"/>
            </v:rect>
            <v:rect style="position:absolute;left:3349;top:3559;width:20;height:20" filled="true" fillcolor="#bebebe" stroked="false">
              <v:fill type="solid"/>
            </v:rect>
            <v:rect style="position:absolute;left:3349;top:3520;width:20;height:20" filled="true" fillcolor="#bebebe" stroked="false">
              <v:fill type="solid"/>
            </v:rect>
            <v:rect style="position:absolute;left:3349;top:3481;width:20;height:20" filled="true" fillcolor="#bebebe" stroked="false">
              <v:fill type="solid"/>
            </v:rect>
            <v:rect style="position:absolute;left:3349;top:3442;width:20;height:20" filled="true" fillcolor="#bebebe" stroked="false">
              <v:fill type="solid"/>
            </v:rect>
            <v:rect style="position:absolute;left:3349;top:3404;width:20;height:20" filled="true" fillcolor="#bebebe" stroked="false">
              <v:fill type="solid"/>
            </v:rect>
            <v:rect style="position:absolute;left:3349;top:3365;width:20;height:20" filled="true" fillcolor="#bebebe" stroked="false">
              <v:fill type="solid"/>
            </v:rect>
            <v:rect style="position:absolute;left:3349;top:3326;width:20;height:20" filled="true" fillcolor="#bebebe" stroked="false">
              <v:fill type="solid"/>
            </v:rect>
            <v:rect style="position:absolute;left:3349;top:3287;width:20;height:20" filled="true" fillcolor="#bebebe" stroked="false">
              <v:fill type="solid"/>
            </v:rect>
            <v:rect style="position:absolute;left:3349;top:3249;width:20;height:20" filled="true" fillcolor="#bebebe" stroked="false">
              <v:fill type="solid"/>
            </v:rect>
            <v:rect style="position:absolute;left:3349;top:3210;width:20;height:20" filled="true" fillcolor="#bebebe" stroked="false">
              <v:fill type="solid"/>
            </v:rect>
            <v:rect style="position:absolute;left:3349;top:3171;width:20;height:20" filled="true" fillcolor="#bebebe" stroked="false">
              <v:fill type="solid"/>
            </v:rect>
            <v:rect style="position:absolute;left:3349;top:3132;width:20;height:20" filled="true" fillcolor="#bebebe" stroked="false">
              <v:fill type="solid"/>
            </v:rect>
            <v:rect style="position:absolute;left:3349;top:3094;width:20;height:20" filled="true" fillcolor="#bebebe" stroked="false">
              <v:fill type="solid"/>
            </v:rect>
            <v:rect style="position:absolute;left:3349;top:3055;width:20;height:20" filled="true" fillcolor="#bebebe" stroked="false">
              <v:fill type="solid"/>
            </v:rect>
            <v:rect style="position:absolute;left:3349;top:3016;width:20;height:20" filled="true" fillcolor="#bebebe" stroked="false">
              <v:fill type="solid"/>
            </v:rect>
            <v:rect style="position:absolute;left:3349;top:2978;width:20;height:20" filled="true" fillcolor="#bebebe" stroked="false">
              <v:fill type="solid"/>
            </v:rect>
            <v:rect style="position:absolute;left:3349;top:2939;width:20;height:20" filled="true" fillcolor="#bebebe" stroked="false">
              <v:fill type="solid"/>
            </v:rect>
            <v:rect style="position:absolute;left:3349;top:2900;width:20;height:20" filled="true" fillcolor="#bebebe" stroked="false">
              <v:fill type="solid"/>
            </v:rect>
            <v:rect style="position:absolute;left:3349;top:2861;width:20;height:20" filled="true" fillcolor="#bebebe" stroked="false">
              <v:fill type="solid"/>
            </v:rect>
            <v:rect style="position:absolute;left:3349;top:2822;width:20;height:20" filled="true" fillcolor="#bebebe" stroked="false">
              <v:fill type="solid"/>
            </v:rect>
            <v:rect style="position:absolute;left:3349;top:2784;width:20;height:20" filled="true" fillcolor="#bebebe" stroked="false">
              <v:fill type="solid"/>
            </v:rect>
            <v:rect style="position:absolute;left:3349;top:2745;width:20;height:20" filled="true" fillcolor="#bebebe" stroked="false">
              <v:fill type="solid"/>
            </v:rect>
            <v:rect style="position:absolute;left:3349;top:2706;width:20;height:20" filled="true" fillcolor="#bebebe" stroked="false">
              <v:fill type="solid"/>
            </v:rect>
            <v:rect style="position:absolute;left:3349;top:2668;width:20;height:20" filled="true" fillcolor="#bebebe" stroked="false">
              <v:fill type="solid"/>
            </v:rect>
            <v:rect style="position:absolute;left:3349;top:2629;width:20;height:20" filled="true" fillcolor="#bebebe" stroked="false">
              <v:fill type="solid"/>
            </v:rect>
            <v:rect style="position:absolute;left:3349;top:2590;width:20;height:20" filled="true" fillcolor="#bebebe" stroked="false">
              <v:fill type="solid"/>
            </v:rect>
            <v:rect style="position:absolute;left:3970;top:2234;width:20;height:20" filled="true" fillcolor="#bebebe" stroked="false">
              <v:fill type="solid"/>
            </v:rect>
            <v:rect style="position:absolute;left:3970;top:2195;width:20;height:20" filled="true" fillcolor="#bebebe" stroked="false">
              <v:fill type="solid"/>
            </v:rect>
            <v:rect style="position:absolute;left:3970;top:2156;width:20;height:20" filled="true" fillcolor="#bebebe" stroked="false">
              <v:fill type="solid"/>
            </v:rect>
            <v:rect style="position:absolute;left:3970;top:2117;width:20;height:20" filled="true" fillcolor="#bebebe" stroked="false">
              <v:fill type="solid"/>
            </v:rect>
            <v:rect style="position:absolute;left:3970;top:2079;width:20;height:20" filled="true" fillcolor="#bebebe" stroked="false">
              <v:fill type="solid"/>
            </v:rect>
            <v:rect style="position:absolute;left:3970;top:2040;width:20;height:20" filled="true" fillcolor="#bebebe" stroked="false">
              <v:fill type="solid"/>
            </v:rect>
            <v:rect style="position:absolute;left:3970;top:2001;width:20;height:20" filled="true" fillcolor="#bebebe" stroked="false">
              <v:fill type="solid"/>
            </v:rect>
            <v:rect style="position:absolute;left:3970;top:1962;width:20;height:20" filled="true" fillcolor="#bebebe" stroked="false">
              <v:fill type="solid"/>
            </v:rect>
            <v:rect style="position:absolute;left:3970;top:1924;width:20;height:20" filled="true" fillcolor="#bebebe" stroked="false">
              <v:fill type="solid"/>
            </v:rect>
            <v:rect style="position:absolute;left:3970;top:1885;width:20;height:20" filled="true" fillcolor="#bebebe" stroked="false">
              <v:fill type="solid"/>
            </v:rect>
            <v:rect style="position:absolute;left:3970;top:1846;width:20;height:20" filled="true" fillcolor="#bebebe" stroked="false">
              <v:fill type="solid"/>
            </v:rect>
            <v:rect style="position:absolute;left:3970;top:1807;width:20;height:20" filled="true" fillcolor="#bebebe" stroked="false">
              <v:fill type="solid"/>
            </v:rect>
            <v:rect style="position:absolute;left:3970;top:1769;width:20;height:20" filled="true" fillcolor="#bebebe" stroked="false">
              <v:fill type="solid"/>
            </v:rect>
            <v:rect style="position:absolute;left:3970;top:1730;width:20;height:20" filled="true" fillcolor="#bebebe" stroked="false">
              <v:fill type="solid"/>
            </v:rect>
            <v:rect style="position:absolute;left:3970;top:1691;width:20;height:20" filled="true" fillcolor="#bebebe" stroked="false">
              <v:fill type="solid"/>
            </v:rect>
            <v:rect style="position:absolute;left:3970;top:1652;width:20;height:20" filled="true" fillcolor="#bebebe" stroked="false">
              <v:fill type="solid"/>
            </v:rect>
            <v:rect style="position:absolute;left:3970;top:1614;width:20;height:20" filled="true" fillcolor="#bebebe" stroked="false">
              <v:fill type="solid"/>
            </v:rect>
            <v:rect style="position:absolute;left:3970;top:1575;width:20;height:20" filled="true" fillcolor="#bebebe" stroked="false">
              <v:fill type="solid"/>
            </v:rect>
            <v:rect style="position:absolute;left:3970;top:1536;width:20;height:20" filled="true" fillcolor="#bebebe" stroked="false">
              <v:fill type="solid"/>
            </v:rect>
            <v:rect style="position:absolute;left:3970;top:1497;width:20;height:20" filled="true" fillcolor="#bebebe" stroked="false">
              <v:fill type="solid"/>
            </v:rect>
            <v:rect style="position:absolute;left:3970;top:1459;width:20;height:20" filled="true" fillcolor="#bebebe" stroked="false">
              <v:fill type="solid"/>
            </v:rect>
            <v:rect style="position:absolute;left:3970;top:1420;width:20;height:20" filled="true" fillcolor="#bebebe" stroked="false">
              <v:fill type="solid"/>
            </v:rect>
            <v:rect style="position:absolute;left:3970;top:1381;width:20;height:20" filled="true" fillcolor="#bebebe" stroked="false">
              <v:fill type="solid"/>
            </v:rect>
            <v:rect style="position:absolute;left:3970;top:1342;width:20;height:20" filled="true" fillcolor="#bebebe" stroked="false">
              <v:fill type="solid"/>
            </v:rect>
            <v:rect style="position:absolute;left:3970;top:1304;width:20;height:20" filled="true" fillcolor="#bebebe" stroked="false">
              <v:fill type="solid"/>
            </v:rect>
            <v:rect style="position:absolute;left:3970;top:1265;width:20;height:20" filled="true" fillcolor="#bebebe" stroked="false">
              <v:fill type="solid"/>
            </v:rect>
            <v:rect style="position:absolute;left:3970;top:1226;width:20;height:20" filled="true" fillcolor="#bebebe" stroked="false">
              <v:fill type="solid"/>
            </v:rect>
            <v:rect style="position:absolute;left:3970;top:1187;width:20;height:20" filled="true" fillcolor="#bebebe" stroked="false">
              <v:fill type="solid"/>
            </v:rect>
            <v:rect style="position:absolute;left:3970;top:1149;width:20;height:20" filled="true" fillcolor="#bebebe" stroked="false">
              <v:fill type="solid"/>
            </v:rect>
            <v:rect style="position:absolute;left:3970;top:1110;width:20;height:20" filled="true" fillcolor="#bebebe" stroked="false">
              <v:fill type="solid"/>
            </v:rect>
            <v:rect style="position:absolute;left:3970;top:1071;width:20;height:20" filled="true" fillcolor="#bebebe" stroked="false">
              <v:fill type="solid"/>
            </v:rect>
            <v:rect style="position:absolute;left:3970;top:1032;width:20;height:20" filled="true" fillcolor="#bebebe" stroked="false">
              <v:fill type="solid"/>
            </v:rect>
            <v:rect style="position:absolute;left:3970;top:994;width:20;height:20" filled="true" fillcolor="#bebebe" stroked="false">
              <v:fill type="solid"/>
            </v:rect>
            <v:rect style="position:absolute;left:3970;top:955;width:20;height:20" filled="true" fillcolor="#bebebe" stroked="false">
              <v:fill type="solid"/>
            </v:rect>
            <v:rect style="position:absolute;left:3970;top:916;width:20;height:20" filled="true" fillcolor="#bebebe" stroked="false">
              <v:fill type="solid"/>
            </v:rect>
            <v:rect style="position:absolute;left:6361;top:3907;width:20;height:20" filled="true" fillcolor="#bebebe" stroked="false">
              <v:fill type="solid"/>
            </v:rect>
            <v:rect style="position:absolute;left:6361;top:3869;width:20;height:20" filled="true" fillcolor="#bebebe" stroked="false">
              <v:fill type="solid"/>
            </v:rect>
            <v:rect style="position:absolute;left:6361;top:3830;width:20;height:20" filled="true" fillcolor="#bebebe" stroked="false">
              <v:fill type="solid"/>
            </v:rect>
            <v:rect style="position:absolute;left:6361;top:3791;width:20;height:20" filled="true" fillcolor="#bebebe" stroked="false">
              <v:fill type="solid"/>
            </v:rect>
            <v:rect style="position:absolute;left:6361;top:3752;width:20;height:20" filled="true" fillcolor="#bebebe" stroked="false">
              <v:fill type="solid"/>
            </v:rect>
            <v:rect style="position:absolute;left:6361;top:3714;width:20;height:20" filled="true" fillcolor="#bebebe" stroked="false">
              <v:fill type="solid"/>
            </v:rect>
            <v:rect style="position:absolute;left:6361;top:3675;width:20;height:20" filled="true" fillcolor="#bebebe" stroked="false">
              <v:fill type="solid"/>
            </v:rect>
            <v:rect style="position:absolute;left:6361;top:3636;width:20;height:20" filled="true" fillcolor="#bebebe" stroked="false">
              <v:fill type="solid"/>
            </v:rect>
            <v:rect style="position:absolute;left:6361;top:3597;width:20;height:20" filled="true" fillcolor="#bebebe" stroked="false">
              <v:fill type="solid"/>
            </v:rect>
            <v:rect style="position:absolute;left:6361;top:3559;width:20;height:20" filled="true" fillcolor="#bebebe" stroked="false">
              <v:fill type="solid"/>
            </v:rect>
            <v:rect style="position:absolute;left:6361;top:3520;width:20;height:20" filled="true" fillcolor="#bebebe" stroked="false">
              <v:fill type="solid"/>
            </v:rect>
            <v:rect style="position:absolute;left:6361;top:3481;width:20;height:20" filled="true" fillcolor="#bebebe" stroked="false">
              <v:fill type="solid"/>
            </v:rect>
            <v:rect style="position:absolute;left:6361;top:3442;width:20;height:20" filled="true" fillcolor="#bebebe" stroked="false">
              <v:fill type="solid"/>
            </v:rect>
            <v:rect style="position:absolute;left:6361;top:3404;width:20;height:20" filled="true" fillcolor="#bebebe" stroked="false">
              <v:fill type="solid"/>
            </v:rect>
            <v:rect style="position:absolute;left:6361;top:3365;width:20;height:20" filled="true" fillcolor="#bebebe" stroked="false">
              <v:fill type="solid"/>
            </v:rect>
            <v:rect style="position:absolute;left:6361;top:3326;width:20;height:20" filled="true" fillcolor="#bebebe" stroked="false">
              <v:fill type="solid"/>
            </v:rect>
            <v:rect style="position:absolute;left:6361;top:3287;width:20;height:20" filled="true" fillcolor="#bebebe" stroked="false">
              <v:fill type="solid"/>
            </v:rect>
            <v:rect style="position:absolute;left:6361;top:3249;width:20;height:20" filled="true" fillcolor="#bebebe" stroked="false">
              <v:fill type="solid"/>
            </v:rect>
            <v:rect style="position:absolute;left:6361;top:3210;width:20;height:20" filled="true" fillcolor="#bebebe" stroked="false">
              <v:fill type="solid"/>
            </v:rect>
            <v:rect style="position:absolute;left:6361;top:3171;width:20;height:20" filled="true" fillcolor="#bebebe" stroked="false">
              <v:fill type="solid"/>
            </v:rect>
            <v:rect style="position:absolute;left:6361;top:3132;width:20;height:20" filled="true" fillcolor="#bebebe" stroked="false">
              <v:fill type="solid"/>
            </v:rect>
            <v:rect style="position:absolute;left:6361;top:3094;width:20;height:20" filled="true" fillcolor="#bebebe" stroked="false">
              <v:fill type="solid"/>
            </v:rect>
            <v:rect style="position:absolute;left:6361;top:3055;width:20;height:20" filled="true" fillcolor="#bebebe" stroked="false">
              <v:fill type="solid"/>
            </v:rect>
            <v:rect style="position:absolute;left:6361;top:3016;width:20;height:20" filled="true" fillcolor="#bebebe" stroked="false">
              <v:fill type="solid"/>
            </v:rect>
            <v:rect style="position:absolute;left:6361;top:2978;width:20;height:20" filled="true" fillcolor="#bebebe" stroked="false">
              <v:fill type="solid"/>
            </v:rect>
            <v:rect style="position:absolute;left:6361;top:2939;width:20;height:20" filled="true" fillcolor="#bebebe" stroked="false">
              <v:fill type="solid"/>
            </v:rect>
            <v:rect style="position:absolute;left:6361;top:2900;width:20;height:20" filled="true" fillcolor="#bebebe" stroked="false">
              <v:fill type="solid"/>
            </v:rect>
            <v:rect style="position:absolute;left:6361;top:2861;width:20;height:20" filled="true" fillcolor="#bebebe" stroked="false">
              <v:fill type="solid"/>
            </v:rect>
            <v:rect style="position:absolute;left:6361;top:2822;width:20;height:20" filled="true" fillcolor="#bebebe" stroked="false">
              <v:fill type="solid"/>
            </v:rect>
            <v:rect style="position:absolute;left:6361;top:2784;width:20;height:20" filled="true" fillcolor="#bebebe" stroked="false">
              <v:fill type="solid"/>
            </v:rect>
            <v:rect style="position:absolute;left:6361;top:2745;width:20;height:20" filled="true" fillcolor="#bebebe" stroked="false">
              <v:fill type="solid"/>
            </v:rect>
            <v:rect style="position:absolute;left:6361;top:2706;width:20;height:20" filled="true" fillcolor="#bebebe" stroked="false">
              <v:fill type="solid"/>
            </v:rect>
            <v:rect style="position:absolute;left:6361;top:2668;width:20;height:20" filled="true" fillcolor="#bebebe" stroked="false">
              <v:fill type="solid"/>
            </v:rect>
            <v:rect style="position:absolute;left:6361;top:2629;width:20;height:20" filled="true" fillcolor="#bebebe" stroked="false">
              <v:fill type="solid"/>
            </v:rect>
            <v:rect style="position:absolute;left:6361;top:2590;width:20;height:20" filled="true" fillcolor="#bebebe" stroked="false">
              <v:fill type="solid"/>
            </v:rect>
            <v:rect style="position:absolute;left:7015;top:2234;width:20;height:20" filled="true" fillcolor="#6fac46" stroked="false">
              <v:fill type="solid"/>
            </v:rect>
            <v:rect style="position:absolute;left:7015;top:2195;width:20;height:20" filled="true" fillcolor="#6fac46" stroked="false">
              <v:fill type="solid"/>
            </v:rect>
            <v:rect style="position:absolute;left:7015;top:2156;width:20;height:20" filled="true" fillcolor="#6fac46" stroked="false">
              <v:fill type="solid"/>
            </v:rect>
            <v:rect style="position:absolute;left:7015;top:2117;width:20;height:20" filled="true" fillcolor="#6fac46" stroked="false">
              <v:fill type="solid"/>
            </v:rect>
            <v:rect style="position:absolute;left:7015;top:2079;width:20;height:20" filled="true" fillcolor="#6fac46" stroked="false">
              <v:fill type="solid"/>
            </v:rect>
            <v:rect style="position:absolute;left:7015;top:2040;width:20;height:20" filled="true" fillcolor="#6fac46" stroked="false">
              <v:fill type="solid"/>
            </v:rect>
            <v:rect style="position:absolute;left:7015;top:2001;width:20;height:20" filled="true" fillcolor="#6fac46" stroked="false">
              <v:fill type="solid"/>
            </v:rect>
            <v:rect style="position:absolute;left:7015;top:1962;width:20;height:20" filled="true" fillcolor="#6fac46" stroked="false">
              <v:fill type="solid"/>
            </v:rect>
            <v:rect style="position:absolute;left:7015;top:1924;width:20;height:20" filled="true" fillcolor="#6fac46" stroked="false">
              <v:fill type="solid"/>
            </v:rect>
            <v:rect style="position:absolute;left:7015;top:1885;width:20;height:20" filled="true" fillcolor="#6fac46" stroked="false">
              <v:fill type="solid"/>
            </v:rect>
            <v:rect style="position:absolute;left:7015;top:1846;width:20;height:20" filled="true" fillcolor="#6fac46" stroked="false">
              <v:fill type="solid"/>
            </v:rect>
            <v:rect style="position:absolute;left:7015;top:1807;width:20;height:20" filled="true" fillcolor="#6fac46" stroked="false">
              <v:fill type="solid"/>
            </v:rect>
            <v:rect style="position:absolute;left:7015;top:1769;width:20;height:20" filled="true" fillcolor="#6fac46" stroked="false">
              <v:fill type="solid"/>
            </v:rect>
            <v:rect style="position:absolute;left:7015;top:1730;width:20;height:20" filled="true" fillcolor="#6fac46" stroked="false">
              <v:fill type="solid"/>
            </v:rect>
            <v:rect style="position:absolute;left:7015;top:1691;width:20;height:20" filled="true" fillcolor="#6fac46" stroked="false">
              <v:fill type="solid"/>
            </v:rect>
            <v:rect style="position:absolute;left:7015;top:1652;width:20;height:20" filled="true" fillcolor="#6fac46" stroked="false">
              <v:fill type="solid"/>
            </v:rect>
            <v:rect style="position:absolute;left:7015;top:1614;width:20;height:20" filled="true" fillcolor="#6fac46" stroked="false">
              <v:fill type="solid"/>
            </v:rect>
            <v:rect style="position:absolute;left:7015;top:1575;width:20;height:20" filled="true" fillcolor="#6fac46" stroked="false">
              <v:fill type="solid"/>
            </v:rect>
            <v:rect style="position:absolute;left:7015;top:1536;width:20;height:20" filled="true" fillcolor="#6fac46" stroked="false">
              <v:fill type="solid"/>
            </v:rect>
            <v:rect style="position:absolute;left:7015;top:1497;width:20;height:20" filled="true" fillcolor="#6fac46" stroked="false">
              <v:fill type="solid"/>
            </v:rect>
            <v:rect style="position:absolute;left:7015;top:1459;width:20;height:20" filled="true" fillcolor="#6fac46" stroked="false">
              <v:fill type="solid"/>
            </v:rect>
            <v:rect style="position:absolute;left:7015;top:1420;width:20;height:20" filled="true" fillcolor="#6fac46" stroked="false">
              <v:fill type="solid"/>
            </v:rect>
            <v:rect style="position:absolute;left:7015;top:1381;width:20;height:20" filled="true" fillcolor="#6fac46" stroked="false">
              <v:fill type="solid"/>
            </v:rect>
            <v:rect style="position:absolute;left:7015;top:1342;width:20;height:20" filled="true" fillcolor="#6fac46" stroked="false">
              <v:fill type="solid"/>
            </v:rect>
            <v:rect style="position:absolute;left:7015;top:1304;width:20;height:20" filled="true" fillcolor="#6fac46" stroked="false">
              <v:fill type="solid"/>
            </v:rect>
            <v:rect style="position:absolute;left:7015;top:1265;width:20;height:20" filled="true" fillcolor="#6fac46" stroked="false">
              <v:fill type="solid"/>
            </v:rect>
            <v:rect style="position:absolute;left:7015;top:1226;width:20;height:20" filled="true" fillcolor="#6fac46" stroked="false">
              <v:fill type="solid"/>
            </v:rect>
            <v:rect style="position:absolute;left:7015;top:1187;width:20;height:20" filled="true" fillcolor="#6fac46" stroked="false">
              <v:fill type="solid"/>
            </v:rect>
            <v:rect style="position:absolute;left:7015;top:1149;width:20;height:20" filled="true" fillcolor="#6fac46" stroked="false">
              <v:fill type="solid"/>
            </v:rect>
            <v:rect style="position:absolute;left:7015;top:1110;width:20;height:20" filled="true" fillcolor="#6fac46" stroked="false">
              <v:fill type="solid"/>
            </v:rect>
            <v:rect style="position:absolute;left:7015;top:1071;width:20;height:20" filled="true" fillcolor="#6fac46" stroked="false">
              <v:fill type="solid"/>
            </v:rect>
            <v:rect style="position:absolute;left:7015;top:1032;width:20;height:20" filled="true" fillcolor="#6fac46" stroked="false">
              <v:fill type="solid"/>
            </v:rect>
            <v:rect style="position:absolute;left:7015;top:994;width:20;height:20" filled="true" fillcolor="#6fac46" stroked="false">
              <v:fill type="solid"/>
            </v:rect>
            <v:rect style="position:absolute;left:7015;top:955;width:20;height:20" filled="true" fillcolor="#6fac46" stroked="false">
              <v:fill type="solid"/>
            </v:rect>
            <v:rect style="position:absolute;left:7015;top:916;width:20;height:20" filled="true" fillcolor="#6fac46" stroked="false">
              <v:fill type="solid"/>
            </v:rect>
            <v:rect style="position:absolute;left:9217;top:3907;width:20;height:20" filled="true" fillcolor="#bebebe" stroked="false">
              <v:fill type="solid"/>
            </v:rect>
            <v:rect style="position:absolute;left:9217;top:3869;width:20;height:20" filled="true" fillcolor="#bebebe" stroked="false">
              <v:fill type="solid"/>
            </v:rect>
            <v:rect style="position:absolute;left:9217;top:3830;width:20;height:20" filled="true" fillcolor="#bebebe" stroked="false">
              <v:fill type="solid"/>
            </v:rect>
            <v:rect style="position:absolute;left:9217;top:3791;width:20;height:20" filled="true" fillcolor="#bebebe" stroked="false">
              <v:fill type="solid"/>
            </v:rect>
            <v:rect style="position:absolute;left:9217;top:3752;width:20;height:20" filled="true" fillcolor="#bebebe" stroked="false">
              <v:fill type="solid"/>
            </v:rect>
            <v:rect style="position:absolute;left:9217;top:3714;width:20;height:20" filled="true" fillcolor="#bebebe" stroked="false">
              <v:fill type="solid"/>
            </v:rect>
            <v:rect style="position:absolute;left:9217;top:3675;width:20;height:20" filled="true" fillcolor="#bebebe" stroked="false">
              <v:fill type="solid"/>
            </v:rect>
            <v:rect style="position:absolute;left:9217;top:3636;width:20;height:20" filled="true" fillcolor="#bebebe" stroked="false">
              <v:fill type="solid"/>
            </v:rect>
            <v:rect style="position:absolute;left:9217;top:3597;width:20;height:20" filled="true" fillcolor="#bebebe" stroked="false">
              <v:fill type="solid"/>
            </v:rect>
            <v:rect style="position:absolute;left:9217;top:3559;width:20;height:20" filled="true" fillcolor="#bebebe" stroked="false">
              <v:fill type="solid"/>
            </v:rect>
            <v:rect style="position:absolute;left:9217;top:3520;width:20;height:20" filled="true" fillcolor="#bebebe" stroked="false">
              <v:fill type="solid"/>
            </v:rect>
            <v:rect style="position:absolute;left:9217;top:3287;width:20;height:20" filled="true" fillcolor="#bebebe" stroked="false">
              <v:fill type="solid"/>
            </v:rect>
            <v:rect style="position:absolute;left:9217;top:3249;width:20;height:20" filled="true" fillcolor="#bebebe" stroked="false">
              <v:fill type="solid"/>
            </v:rect>
            <v:rect style="position:absolute;left:9217;top:3210;width:20;height:20" filled="true" fillcolor="#bebebe" stroked="false">
              <v:fill type="solid"/>
            </v:rect>
            <v:rect style="position:absolute;left:9217;top:3171;width:20;height:20" filled="true" fillcolor="#bebebe" stroked="false">
              <v:fill type="solid"/>
            </v:rect>
            <v:rect style="position:absolute;left:9217;top:3132;width:20;height:20" filled="true" fillcolor="#bebebe" stroked="false">
              <v:fill type="solid"/>
            </v:rect>
            <v:rect style="position:absolute;left:9217;top:3094;width:20;height:20" filled="true" fillcolor="#bebebe" stroked="false">
              <v:fill type="solid"/>
            </v:rect>
            <v:rect style="position:absolute;left:9217;top:3055;width:20;height:20" filled="true" fillcolor="#bebebe" stroked="false">
              <v:fill type="solid"/>
            </v:rect>
            <v:rect style="position:absolute;left:9217;top:3016;width:20;height:20" filled="true" fillcolor="#bebebe" stroked="false">
              <v:fill type="solid"/>
            </v:rect>
            <v:rect style="position:absolute;left:9217;top:2978;width:20;height:20" filled="true" fillcolor="#bebebe" stroked="false">
              <v:fill type="solid"/>
            </v:rect>
            <v:rect style="position:absolute;left:9217;top:2939;width:20;height:20" filled="true" fillcolor="#bebebe" stroked="false">
              <v:fill type="solid"/>
            </v:rect>
            <v:rect style="position:absolute;left:9217;top:2900;width:20;height:20" filled="true" fillcolor="#bebebe" stroked="false">
              <v:fill type="solid"/>
            </v:rect>
            <v:rect style="position:absolute;left:9217;top:2861;width:20;height:20" filled="true" fillcolor="#bebebe" stroked="false">
              <v:fill type="solid"/>
            </v:rect>
            <v:rect style="position:absolute;left:9217;top:2822;width:20;height:20" filled="true" fillcolor="#bebebe" stroked="false">
              <v:fill type="solid"/>
            </v:rect>
            <v:rect style="position:absolute;left:9217;top:2784;width:20;height:20" filled="true" fillcolor="#bebebe" stroked="false">
              <v:fill type="solid"/>
            </v:rect>
            <v:rect style="position:absolute;left:9217;top:2745;width:20;height:20" filled="true" fillcolor="#bebebe" stroked="false">
              <v:fill type="solid"/>
            </v:rect>
            <v:rect style="position:absolute;left:9217;top:2706;width:20;height:20" filled="true" fillcolor="#bebebe" stroked="false">
              <v:fill type="solid"/>
            </v:rect>
            <v:rect style="position:absolute;left:9217;top:2668;width:20;height:20" filled="true" fillcolor="#bebebe" stroked="false">
              <v:fill type="solid"/>
            </v:rect>
            <v:rect style="position:absolute;left:9217;top:2629;width:20;height:20" filled="true" fillcolor="#bebebe" stroked="false">
              <v:fill type="solid"/>
            </v:rect>
            <v:rect style="position:absolute;left:9217;top:2590;width:20;height:20" filled="true" fillcolor="#bebebe" stroked="false">
              <v:fill type="solid"/>
            </v:rect>
            <v:rect style="position:absolute;left:1793;top:244;width:5405;height:4018" filled="false" stroked="true" strokeweight=".646165pt" strokecolor="#92d050">
              <v:stroke dashstyle="shortdash"/>
            </v:rect>
            <v:shape style="position:absolute;left:1441;top:2033;width:771;height:769" coordorigin="1441,2033" coordsize="771,769" path="m1826,2033l1749,2041,1676,2063,1611,2099,1554,2146,1507,2203,1471,2268,1449,2340,1441,2418,1449,2495,1471,2567,1507,2632,1554,2689,1611,2736,1676,2772,1749,2794,1826,2802,1904,2794,1976,2772,2041,2736,2098,2689,2145,2632,2181,2567,2203,2495,2211,2418,2203,2340,2181,2268,2145,2203,2098,2146,2041,2099,1976,2063,1904,2041,1826,2033xe" filled="true" fillcolor="#6fac46" stroked="false">
              <v:path arrowok="t"/>
              <v:fill type="solid"/>
            </v:shape>
            <v:rect style="position:absolute;left:8975;top:3527;width:1039;height:641" filled="false" stroked="true" strokeweight=".64607pt" strokecolor="#ffc000">
              <v:stroke dashstyle="longdash"/>
            </v:rect>
            <v:rect style="position:absolute;left:7280;top:244;width:3048;height:4018" filled="false" stroked="true" strokeweight=".646497pt" strokecolor="#5b9bd4">
              <v:stroke dashstyle="shortdash"/>
            </v:rect>
            <v:shape style="position:absolute;left:1887;top:320;width:3861;height:142" type="#_x0000_t202" filled="false" stroked="false">
              <v:textbox inset="0,0,0,0">
                <w:txbxContent>
                  <w:p>
                    <w:pPr>
                      <w:spacing w:before="6"/>
                      <w:ind w:left="0" w:right="0" w:firstLine="0"/>
                      <w:jc w:val="left"/>
                      <w:rPr>
                        <w:b/>
                        <w:sz w:val="11"/>
                      </w:rPr>
                    </w:pPr>
                    <w:r>
                      <w:rPr>
                        <w:b/>
                        <w:color w:val="6FAC46"/>
                        <w:w w:val="105"/>
                        <w:sz w:val="11"/>
                      </w:rPr>
                      <w:t>First phase of evaluation – Implementation of action plans</w:t>
                    </w:r>
                  </w:p>
                </w:txbxContent>
              </v:textbox>
              <w10:wrap type="none"/>
            </v:shape>
            <v:shape style="position:absolute;left:7327;top:290;width:2871;height:281" type="#_x0000_t202" filled="false" stroked="false">
              <v:textbox inset="0,0,0,0">
                <w:txbxContent>
                  <w:p>
                    <w:pPr>
                      <w:spacing w:line="249" w:lineRule="auto" w:before="6"/>
                      <w:ind w:left="0" w:right="0" w:firstLine="0"/>
                      <w:jc w:val="left"/>
                      <w:rPr>
                        <w:b/>
                        <w:sz w:val="11"/>
                      </w:rPr>
                    </w:pPr>
                    <w:r>
                      <w:rPr>
                        <w:b/>
                        <w:color w:val="5B9BD4"/>
                        <w:w w:val="105"/>
                        <w:sz w:val="11"/>
                      </w:rPr>
                      <w:t>Second phase of evaluation – systems level evaluation</w:t>
                    </w:r>
                  </w:p>
                </w:txbxContent>
              </v:textbox>
              <w10:wrap type="none"/>
            </v:shape>
            <v:shape style="position:absolute;left:3061;top:827;width:1719;height:561" type="#_x0000_t202" filled="false" stroked="false">
              <v:textbox inset="0,0,0,0">
                <w:txbxContent>
                  <w:p>
                    <w:pPr>
                      <w:tabs>
                        <w:tab w:pos="1046" w:val="left" w:leader="none"/>
                      </w:tabs>
                      <w:spacing w:before="6"/>
                      <w:ind w:left="0" w:right="0" w:firstLine="0"/>
                      <w:jc w:val="left"/>
                      <w:rPr>
                        <w:b/>
                        <w:sz w:val="11"/>
                      </w:rPr>
                    </w:pPr>
                    <w:r>
                      <w:rPr>
                        <w:b/>
                        <w:color w:val="6FAC46"/>
                        <w:w w:val="105"/>
                        <w:sz w:val="11"/>
                      </w:rPr>
                      <w:t>Mid</w:t>
                    </w:r>
                    <w:r>
                      <w:rPr>
                        <w:b/>
                        <w:color w:val="6FAC46"/>
                        <w:spacing w:val="-1"/>
                        <w:w w:val="105"/>
                        <w:sz w:val="11"/>
                      </w:rPr>
                      <w:t> </w:t>
                    </w:r>
                    <w:r>
                      <w:rPr>
                        <w:b/>
                        <w:color w:val="6FAC46"/>
                        <w:w w:val="105"/>
                        <w:sz w:val="11"/>
                      </w:rPr>
                      <w:t>2020</w:t>
                      <w:tab/>
                      <w:t>Late 2020</w:t>
                    </w:r>
                  </w:p>
                  <w:p>
                    <w:pPr>
                      <w:tabs>
                        <w:tab w:pos="1046" w:val="left" w:leader="none"/>
                      </w:tabs>
                      <w:spacing w:line="249" w:lineRule="auto" w:before="6"/>
                      <w:ind w:left="1046" w:right="162" w:hanging="1047"/>
                      <w:jc w:val="left"/>
                      <w:rPr>
                        <w:sz w:val="11"/>
                      </w:rPr>
                    </w:pPr>
                    <w:r>
                      <w:rPr>
                        <w:color w:val="6FAC46"/>
                        <w:w w:val="105"/>
                        <w:sz w:val="11"/>
                      </w:rPr>
                      <w:t>Project</w:t>
                    </w:r>
                    <w:r>
                      <w:rPr>
                        <w:color w:val="6FAC46"/>
                        <w:spacing w:val="1"/>
                        <w:w w:val="105"/>
                        <w:sz w:val="11"/>
                      </w:rPr>
                      <w:t> </w:t>
                    </w:r>
                    <w:r>
                      <w:rPr>
                        <w:color w:val="6FAC46"/>
                        <w:w w:val="105"/>
                        <w:sz w:val="11"/>
                      </w:rPr>
                      <w:t>plan</w:t>
                      <w:tab/>
                      <w:t>Annual progress report</w:t>
                    </w:r>
                  </w:p>
                </w:txbxContent>
              </v:textbox>
              <w10:wrap type="none"/>
            </v:shape>
            <v:shape style="position:absolute;left:6257;top:815;width:673;height:560" type="#_x0000_t202" filled="false" stroked="false">
              <v:textbox inset="0,0,0,0">
                <w:txbxContent>
                  <w:p>
                    <w:pPr>
                      <w:spacing w:line="249" w:lineRule="auto" w:before="6"/>
                      <w:ind w:left="0" w:right="5" w:firstLine="0"/>
                      <w:jc w:val="left"/>
                      <w:rPr>
                        <w:sz w:val="11"/>
                      </w:rPr>
                    </w:pPr>
                    <w:r>
                      <w:rPr>
                        <w:b/>
                        <w:color w:val="6FAC46"/>
                        <w:w w:val="105"/>
                        <w:sz w:val="11"/>
                      </w:rPr>
                      <w:t>Late 2021 </w:t>
                    </w:r>
                    <w:r>
                      <w:rPr>
                        <w:color w:val="6FAC46"/>
                        <w:w w:val="105"/>
                        <w:sz w:val="11"/>
                      </w:rPr>
                      <w:t>Annual progress report</w:t>
                    </w:r>
                  </w:p>
                </w:txbxContent>
              </v:textbox>
              <w10:wrap type="none"/>
            </v:shape>
            <v:shape style="position:absolute;left:1622;top:2330;width:424;height:174" type="#_x0000_t202" filled="false" stroked="false">
              <v:textbox inset="0,0,0,0">
                <w:txbxContent>
                  <w:p>
                    <w:pPr>
                      <w:spacing w:before="2"/>
                      <w:ind w:left="0" w:right="0" w:firstLine="0"/>
                      <w:jc w:val="left"/>
                      <w:rPr>
                        <w:b/>
                        <w:sz w:val="14"/>
                      </w:rPr>
                    </w:pPr>
                    <w:r>
                      <w:rPr>
                        <w:b/>
                        <w:color w:val="FFFFFF"/>
                        <w:sz w:val="14"/>
                      </w:rPr>
                      <w:t>2020</w:t>
                    </w:r>
                  </w:p>
                </w:txbxContent>
              </v:textbox>
              <w10:wrap type="none"/>
            </v:shape>
            <v:shape style="position:absolute;left:4543;top:2330;width:424;height:174" type="#_x0000_t202" filled="false" stroked="false">
              <v:textbox inset="0,0,0,0">
                <w:txbxContent>
                  <w:p>
                    <w:pPr>
                      <w:spacing w:before="2"/>
                      <w:ind w:left="0" w:right="0" w:firstLine="0"/>
                      <w:jc w:val="left"/>
                      <w:rPr>
                        <w:b/>
                        <w:sz w:val="14"/>
                      </w:rPr>
                    </w:pPr>
                    <w:r>
                      <w:rPr>
                        <w:b/>
                        <w:color w:val="FFFFFF"/>
                        <w:sz w:val="14"/>
                      </w:rPr>
                      <w:t>2021</w:t>
                    </w:r>
                  </w:p>
                </w:txbxContent>
              </v:textbox>
              <w10:wrap type="none"/>
            </v:shape>
            <v:shape style="position:absolute;left:7464;top:2330;width:424;height:174" type="#_x0000_t202" filled="false" stroked="false">
              <v:textbox inset="0,0,0,0">
                <w:txbxContent>
                  <w:p>
                    <w:pPr>
                      <w:spacing w:before="2"/>
                      <w:ind w:left="0" w:right="0" w:firstLine="0"/>
                      <w:jc w:val="left"/>
                      <w:rPr>
                        <w:b/>
                        <w:sz w:val="14"/>
                      </w:rPr>
                    </w:pPr>
                    <w:r>
                      <w:rPr>
                        <w:b/>
                        <w:color w:val="FFFFFF"/>
                        <w:sz w:val="14"/>
                      </w:rPr>
                      <w:t>2022</w:t>
                    </w:r>
                  </w:p>
                </w:txbxContent>
              </v:textbox>
              <w10:wrap type="none"/>
            </v:shape>
            <v:shape style="position:absolute;left:8948;top:3365;width:909;height:142" type="#_x0000_t202" filled="false" stroked="false">
              <v:textbox inset="0,0,0,0">
                <w:txbxContent>
                  <w:p>
                    <w:pPr>
                      <w:spacing w:before="6"/>
                      <w:ind w:left="0" w:right="0" w:firstLine="0"/>
                      <w:jc w:val="left"/>
                      <w:rPr>
                        <w:b/>
                        <w:sz w:val="11"/>
                      </w:rPr>
                    </w:pPr>
                    <w:r>
                      <w:rPr>
                        <w:b/>
                        <w:color w:val="EC7C30"/>
                        <w:w w:val="105"/>
                        <w:sz w:val="11"/>
                      </w:rPr>
                      <w:t>THIS REPORT</w:t>
                    </w:r>
                  </w:p>
                </w:txbxContent>
              </v:textbox>
              <w10:wrap type="none"/>
            </v:shape>
            <v:shape style="position:absolute;left:3443;top:3641;width:769;height:421" type="#_x0000_t202" filled="false" stroked="false">
              <v:textbox inset="0,0,0,0">
                <w:txbxContent>
                  <w:p>
                    <w:pPr>
                      <w:spacing w:before="6"/>
                      <w:ind w:left="0" w:right="0" w:firstLine="0"/>
                      <w:jc w:val="left"/>
                      <w:rPr>
                        <w:b/>
                        <w:sz w:val="11"/>
                      </w:rPr>
                    </w:pPr>
                    <w:r>
                      <w:rPr>
                        <w:b/>
                        <w:color w:val="6FAC46"/>
                        <w:w w:val="105"/>
                        <w:sz w:val="11"/>
                      </w:rPr>
                      <w:t>Mid 2020</w:t>
                    </w:r>
                  </w:p>
                  <w:p>
                    <w:pPr>
                      <w:spacing w:line="249" w:lineRule="auto" w:before="6"/>
                      <w:ind w:left="0" w:right="9" w:firstLine="0"/>
                      <w:jc w:val="left"/>
                      <w:rPr>
                        <w:sz w:val="11"/>
                      </w:rPr>
                    </w:pPr>
                    <w:r>
                      <w:rPr>
                        <w:color w:val="6FAC46"/>
                        <w:w w:val="105"/>
                        <w:sz w:val="11"/>
                      </w:rPr>
                      <w:t>Methodology paper</w:t>
                    </w:r>
                  </w:p>
                </w:txbxContent>
              </v:textbox>
              <w10:wrap type="none"/>
            </v:shape>
            <v:shape style="position:absolute;left:6464;top:3641;width:622;height:421" type="#_x0000_t202" filled="false" stroked="false">
              <v:textbox inset="0,0,0,0">
                <w:txbxContent>
                  <w:p>
                    <w:pPr>
                      <w:spacing w:before="6"/>
                      <w:ind w:left="0" w:right="0" w:firstLine="0"/>
                      <w:jc w:val="left"/>
                      <w:rPr>
                        <w:b/>
                        <w:sz w:val="11"/>
                      </w:rPr>
                    </w:pPr>
                    <w:r>
                      <w:rPr>
                        <w:b/>
                        <w:color w:val="6FAC46"/>
                        <w:w w:val="105"/>
                        <w:sz w:val="11"/>
                      </w:rPr>
                      <w:t>Mid 2021</w:t>
                    </w:r>
                  </w:p>
                  <w:p>
                    <w:pPr>
                      <w:spacing w:line="249" w:lineRule="auto" w:before="6"/>
                      <w:ind w:left="0" w:right="119" w:firstLine="0"/>
                      <w:jc w:val="left"/>
                      <w:rPr>
                        <w:sz w:val="11"/>
                      </w:rPr>
                    </w:pPr>
                    <w:r>
                      <w:rPr>
                        <w:color w:val="6FAC46"/>
                        <w:w w:val="105"/>
                        <w:sz w:val="11"/>
                      </w:rPr>
                      <w:t>Baseline report</w:t>
                    </w:r>
                  </w:p>
                </w:txbxContent>
              </v:textbox>
              <w10:wrap type="none"/>
            </v:shape>
            <v:shape style="position:absolute;left:9320;top:3641;width:631;height:421" type="#_x0000_t202" filled="false" stroked="false">
              <v:textbox inset="0,0,0,0">
                <w:txbxContent>
                  <w:p>
                    <w:pPr>
                      <w:spacing w:before="6"/>
                      <w:ind w:left="0" w:right="0" w:firstLine="0"/>
                      <w:jc w:val="left"/>
                      <w:rPr>
                        <w:b/>
                        <w:sz w:val="11"/>
                      </w:rPr>
                    </w:pPr>
                    <w:r>
                      <w:rPr>
                        <w:b/>
                        <w:color w:val="5B9BD4"/>
                        <w:w w:val="105"/>
                        <w:sz w:val="11"/>
                      </w:rPr>
                      <w:t>Mid 2022</w:t>
                    </w:r>
                  </w:p>
                  <w:p>
                    <w:pPr>
                      <w:spacing w:line="249" w:lineRule="auto" w:before="6"/>
                      <w:ind w:left="0" w:right="5" w:firstLine="0"/>
                      <w:jc w:val="left"/>
                      <w:rPr>
                        <w:sz w:val="11"/>
                      </w:rPr>
                    </w:pPr>
                    <w:r>
                      <w:rPr>
                        <w:color w:val="5B9BD4"/>
                        <w:w w:val="105"/>
                        <w:sz w:val="11"/>
                      </w:rPr>
                      <w:t>Evaluation report</w:t>
                    </w:r>
                  </w:p>
                </w:txbxContent>
              </v:textbox>
              <w10:wrap type="none"/>
            </v:shape>
            <w10:wrap type="topAndBottom"/>
          </v:group>
        </w:pict>
      </w:r>
    </w:p>
    <w:p>
      <w:pPr>
        <w:pStyle w:val="BodyText"/>
        <w:spacing w:before="7"/>
      </w:pPr>
    </w:p>
    <w:p>
      <w:pPr>
        <w:pStyle w:val="ListParagraph"/>
        <w:numPr>
          <w:ilvl w:val="1"/>
          <w:numId w:val="24"/>
        </w:numPr>
        <w:tabs>
          <w:tab w:pos="1094" w:val="left" w:leader="none"/>
          <w:tab w:pos="1095" w:val="left" w:leader="none"/>
        </w:tabs>
        <w:spacing w:line="240" w:lineRule="auto" w:before="0" w:after="0"/>
        <w:ind w:left="1094" w:right="0" w:hanging="795"/>
        <w:jc w:val="left"/>
        <w:rPr>
          <w:b/>
          <w:sz w:val="22"/>
        </w:rPr>
      </w:pPr>
      <w:bookmarkStart w:name="_bookmark29" w:id="42"/>
      <w:bookmarkEnd w:id="42"/>
      <w:r>
        <w:rPr/>
      </w:r>
      <w:bookmarkStart w:name="_bookmark29" w:id="43"/>
      <w:bookmarkEnd w:id="43"/>
      <w:r>
        <w:rPr>
          <w:b/>
          <w:color w:val="61B5E4"/>
          <w:sz w:val="22"/>
        </w:rPr>
        <w:t>Fir</w:t>
      </w:r>
      <w:r>
        <w:rPr>
          <w:b/>
          <w:color w:val="61B5E4"/>
          <w:sz w:val="22"/>
        </w:rPr>
        <w:t>st phase of the </w:t>
      </w:r>
      <w:r>
        <w:rPr>
          <w:b/>
          <w:i/>
          <w:color w:val="61B5E4"/>
          <w:sz w:val="22"/>
        </w:rPr>
        <w:t>Our Way</w:t>
      </w:r>
      <w:r>
        <w:rPr>
          <w:b/>
          <w:i/>
          <w:color w:val="61B5E4"/>
          <w:spacing w:val="-5"/>
          <w:sz w:val="22"/>
        </w:rPr>
        <w:t> </w:t>
      </w:r>
      <w:r>
        <w:rPr>
          <w:b/>
          <w:color w:val="61B5E4"/>
          <w:sz w:val="22"/>
        </w:rPr>
        <w:t>evaluation</w:t>
      </w:r>
    </w:p>
    <w:p>
      <w:pPr>
        <w:pStyle w:val="Heading4"/>
        <w:numPr>
          <w:ilvl w:val="2"/>
          <w:numId w:val="24"/>
        </w:numPr>
        <w:tabs>
          <w:tab w:pos="1320" w:val="left" w:leader="none"/>
          <w:tab w:pos="1321" w:val="left" w:leader="none"/>
        </w:tabs>
        <w:spacing w:line="240" w:lineRule="auto" w:before="20" w:after="0"/>
        <w:ind w:left="1320" w:right="0" w:hanging="1021"/>
        <w:jc w:val="left"/>
      </w:pPr>
      <w:bookmarkStart w:name="_bookmark30" w:id="44"/>
      <w:bookmarkEnd w:id="44"/>
      <w:r>
        <w:rPr>
          <w:b w:val="0"/>
        </w:rPr>
      </w:r>
      <w:bookmarkStart w:name="_bookmark30" w:id="45"/>
      <w:bookmarkEnd w:id="45"/>
      <w:r>
        <w:rPr/>
        <w:t>A</w:t>
      </w:r>
      <w:r>
        <w:rPr/>
        <w:t>pproach of first phase of the </w:t>
      </w:r>
      <w:r>
        <w:rPr>
          <w:i/>
        </w:rPr>
        <w:t>Our Way</w:t>
      </w:r>
      <w:r>
        <w:rPr>
          <w:i/>
          <w:spacing w:val="-2"/>
        </w:rPr>
        <w:t> </w:t>
      </w:r>
      <w:r>
        <w:rPr/>
        <w:t>evaluation</w:t>
      </w:r>
    </w:p>
    <w:p>
      <w:pPr>
        <w:pStyle w:val="BodyText"/>
        <w:spacing w:before="6"/>
        <w:rPr>
          <w:b/>
          <w:sz w:val="21"/>
        </w:rPr>
      </w:pPr>
    </w:p>
    <w:p>
      <w:pPr>
        <w:pStyle w:val="BodyText"/>
        <w:spacing w:line="264" w:lineRule="auto"/>
        <w:ind w:left="300" w:right="987"/>
      </w:pPr>
      <w:r>
        <w:rPr/>
        <w:t>Between June 2020 and January 2022, the first phase of the evaluation focused on the following elements:</w:t>
      </w:r>
    </w:p>
    <w:p>
      <w:pPr>
        <w:pStyle w:val="ListParagraph"/>
        <w:numPr>
          <w:ilvl w:val="0"/>
          <w:numId w:val="25"/>
        </w:numPr>
        <w:tabs>
          <w:tab w:pos="661" w:val="left" w:leader="none"/>
        </w:tabs>
        <w:spacing w:line="240" w:lineRule="auto" w:before="168" w:after="0"/>
        <w:ind w:left="660" w:right="0" w:hanging="361"/>
        <w:jc w:val="left"/>
        <w:rPr>
          <w:sz w:val="18"/>
        </w:rPr>
      </w:pPr>
      <w:r>
        <w:rPr>
          <w:sz w:val="18"/>
        </w:rPr>
        <w:t>ensuring Aboriginal and Torres Strait Islander children and families’ voice and knowledge</w:t>
      </w:r>
      <w:r>
        <w:rPr>
          <w:spacing w:val="-20"/>
          <w:sz w:val="18"/>
        </w:rPr>
        <w:t> </w:t>
      </w:r>
      <w:r>
        <w:rPr>
          <w:sz w:val="18"/>
        </w:rPr>
        <w:t>is</w:t>
      </w:r>
    </w:p>
    <w:p>
      <w:pPr>
        <w:pStyle w:val="BodyText"/>
        <w:spacing w:before="21"/>
        <w:ind w:left="660"/>
      </w:pPr>
      <w:r>
        <w:rPr/>
        <w:t>valued, incorporated and remunerated in monitoring, evaluation and reporting processes</w:t>
      </w:r>
    </w:p>
    <w:p>
      <w:pPr>
        <w:pStyle w:val="ListParagraph"/>
        <w:numPr>
          <w:ilvl w:val="0"/>
          <w:numId w:val="25"/>
        </w:numPr>
        <w:tabs>
          <w:tab w:pos="661" w:val="left" w:leader="none"/>
        </w:tabs>
        <w:spacing w:line="264" w:lineRule="auto" w:before="21" w:after="0"/>
        <w:ind w:left="660" w:right="823" w:hanging="360"/>
        <w:jc w:val="left"/>
        <w:rPr>
          <w:sz w:val="18"/>
        </w:rPr>
      </w:pPr>
      <w:r>
        <w:rPr>
          <w:sz w:val="18"/>
        </w:rPr>
        <w:t>enabling DCYJMA and partners to be accountable for the significant investment by Queensland Government in </w:t>
      </w:r>
      <w:r>
        <w:rPr>
          <w:i/>
          <w:sz w:val="18"/>
        </w:rPr>
        <w:t>Our Way </w:t>
      </w:r>
      <w:r>
        <w:rPr>
          <w:sz w:val="18"/>
        </w:rPr>
        <w:t>– there is a key focus at this stage of </w:t>
      </w:r>
      <w:r>
        <w:rPr>
          <w:i/>
          <w:sz w:val="18"/>
        </w:rPr>
        <w:t>Our Way </w:t>
      </w:r>
      <w:r>
        <w:rPr>
          <w:sz w:val="18"/>
        </w:rPr>
        <w:t>on governments and community organisations </w:t>
      </w:r>
      <w:r>
        <w:rPr>
          <w:i/>
          <w:sz w:val="18"/>
        </w:rPr>
        <w:t>Changing Tracks</w:t>
      </w:r>
      <w:r>
        <w:rPr>
          <w:i/>
          <w:spacing w:val="-6"/>
          <w:sz w:val="18"/>
        </w:rPr>
        <w:t> </w:t>
      </w:r>
      <w:r>
        <w:rPr>
          <w:sz w:val="18"/>
        </w:rPr>
        <w:t>to:</w:t>
      </w:r>
    </w:p>
    <w:p>
      <w:pPr>
        <w:pStyle w:val="ListParagraph"/>
        <w:numPr>
          <w:ilvl w:val="1"/>
          <w:numId w:val="25"/>
        </w:numPr>
        <w:tabs>
          <w:tab w:pos="1020" w:val="left" w:leader="none"/>
          <w:tab w:pos="1021" w:val="left" w:leader="none"/>
        </w:tabs>
        <w:spacing w:line="219" w:lineRule="exact" w:before="0" w:after="0"/>
        <w:ind w:left="1020" w:right="0" w:hanging="361"/>
        <w:jc w:val="left"/>
        <w:rPr>
          <w:sz w:val="18"/>
        </w:rPr>
      </w:pPr>
      <w:r>
        <w:rPr>
          <w:sz w:val="18"/>
        </w:rPr>
        <w:t>focus more on the child and how to enable</w:t>
      </w:r>
      <w:r>
        <w:rPr>
          <w:spacing w:val="-9"/>
          <w:sz w:val="18"/>
        </w:rPr>
        <w:t> </w:t>
      </w:r>
      <w:r>
        <w:rPr>
          <w:sz w:val="18"/>
        </w:rPr>
        <w:t>families</w:t>
      </w:r>
    </w:p>
    <w:p>
      <w:pPr>
        <w:pStyle w:val="ListParagraph"/>
        <w:numPr>
          <w:ilvl w:val="1"/>
          <w:numId w:val="25"/>
        </w:numPr>
        <w:tabs>
          <w:tab w:pos="1020" w:val="left" w:leader="none"/>
          <w:tab w:pos="1021" w:val="left" w:leader="none"/>
        </w:tabs>
        <w:spacing w:line="240" w:lineRule="auto" w:before="20" w:after="0"/>
        <w:ind w:left="1020" w:right="0" w:hanging="361"/>
        <w:jc w:val="left"/>
        <w:rPr>
          <w:sz w:val="18"/>
        </w:rPr>
      </w:pPr>
      <w:r>
        <w:rPr>
          <w:sz w:val="18"/>
        </w:rPr>
        <w:t>respect cultural knowledge and</w:t>
      </w:r>
      <w:r>
        <w:rPr>
          <w:spacing w:val="-6"/>
          <w:sz w:val="18"/>
        </w:rPr>
        <w:t> </w:t>
      </w:r>
      <w:r>
        <w:rPr>
          <w:sz w:val="18"/>
        </w:rPr>
        <w:t>authority</w:t>
      </w:r>
    </w:p>
    <w:p>
      <w:pPr>
        <w:pStyle w:val="ListParagraph"/>
        <w:numPr>
          <w:ilvl w:val="1"/>
          <w:numId w:val="25"/>
        </w:numPr>
        <w:tabs>
          <w:tab w:pos="1020" w:val="left" w:leader="none"/>
          <w:tab w:pos="1021" w:val="left" w:leader="none"/>
        </w:tabs>
        <w:spacing w:line="240" w:lineRule="auto" w:before="19" w:after="0"/>
        <w:ind w:left="1020" w:right="0" w:hanging="361"/>
        <w:jc w:val="left"/>
        <w:rPr>
          <w:sz w:val="18"/>
        </w:rPr>
      </w:pPr>
      <w:r>
        <w:rPr>
          <w:sz w:val="18"/>
        </w:rPr>
        <w:t>partner better and shift</w:t>
      </w:r>
      <w:r>
        <w:rPr>
          <w:spacing w:val="-4"/>
          <w:sz w:val="18"/>
        </w:rPr>
        <w:t> </w:t>
      </w:r>
      <w:r>
        <w:rPr>
          <w:sz w:val="18"/>
        </w:rPr>
        <w:t>investment</w:t>
      </w:r>
    </w:p>
    <w:p>
      <w:pPr>
        <w:pStyle w:val="ListParagraph"/>
        <w:numPr>
          <w:ilvl w:val="1"/>
          <w:numId w:val="25"/>
        </w:numPr>
        <w:tabs>
          <w:tab w:pos="1020" w:val="left" w:leader="none"/>
          <w:tab w:pos="1021" w:val="left" w:leader="none"/>
        </w:tabs>
        <w:spacing w:line="240" w:lineRule="auto" w:before="20" w:after="0"/>
        <w:ind w:left="1020" w:right="0" w:hanging="361"/>
        <w:jc w:val="left"/>
        <w:rPr>
          <w:sz w:val="18"/>
        </w:rPr>
      </w:pPr>
      <w:r>
        <w:rPr>
          <w:sz w:val="18"/>
        </w:rPr>
        <w:t>innovate and</w:t>
      </w:r>
      <w:r>
        <w:rPr>
          <w:spacing w:val="-3"/>
          <w:sz w:val="18"/>
        </w:rPr>
        <w:t> </w:t>
      </w:r>
      <w:r>
        <w:rPr>
          <w:sz w:val="18"/>
        </w:rPr>
        <w:t>learn</w:t>
      </w:r>
    </w:p>
    <w:p>
      <w:pPr>
        <w:pStyle w:val="ListParagraph"/>
        <w:numPr>
          <w:ilvl w:val="1"/>
          <w:numId w:val="25"/>
        </w:numPr>
        <w:tabs>
          <w:tab w:pos="1020" w:val="left" w:leader="none"/>
          <w:tab w:pos="1021" w:val="left" w:leader="none"/>
        </w:tabs>
        <w:spacing w:line="240" w:lineRule="auto" w:before="19" w:after="0"/>
        <w:ind w:left="1020" w:right="0" w:hanging="361"/>
        <w:jc w:val="left"/>
        <w:rPr>
          <w:sz w:val="18"/>
        </w:rPr>
      </w:pPr>
      <w:r>
        <w:rPr>
          <w:sz w:val="18"/>
        </w:rPr>
        <w:t>be more</w:t>
      </w:r>
      <w:r>
        <w:rPr>
          <w:spacing w:val="-3"/>
          <w:sz w:val="18"/>
        </w:rPr>
        <w:t> </w:t>
      </w:r>
      <w:r>
        <w:rPr>
          <w:sz w:val="18"/>
        </w:rPr>
        <w:t>accountable</w:t>
      </w:r>
    </w:p>
    <w:p>
      <w:pPr>
        <w:pStyle w:val="ListParagraph"/>
        <w:numPr>
          <w:ilvl w:val="0"/>
          <w:numId w:val="25"/>
        </w:numPr>
        <w:tabs>
          <w:tab w:pos="661" w:val="left" w:leader="none"/>
        </w:tabs>
        <w:spacing w:line="264" w:lineRule="auto" w:before="20" w:after="0"/>
        <w:ind w:left="660" w:right="1713" w:hanging="360"/>
        <w:jc w:val="left"/>
        <w:rPr>
          <w:i/>
          <w:sz w:val="18"/>
        </w:rPr>
      </w:pPr>
      <w:r>
        <w:rPr>
          <w:sz w:val="18"/>
        </w:rPr>
        <w:t>establishing a baseline and ongoing data collection process to inform monitoring and evaluation over the life of </w:t>
      </w:r>
      <w:r>
        <w:rPr>
          <w:i/>
          <w:sz w:val="18"/>
        </w:rPr>
        <w:t>Our</w:t>
      </w:r>
      <w:r>
        <w:rPr>
          <w:i/>
          <w:spacing w:val="-5"/>
          <w:sz w:val="18"/>
        </w:rPr>
        <w:t> </w:t>
      </w:r>
      <w:r>
        <w:rPr>
          <w:i/>
          <w:sz w:val="18"/>
        </w:rPr>
        <w:t>Way</w:t>
      </w:r>
    </w:p>
    <w:p>
      <w:pPr>
        <w:pStyle w:val="ListParagraph"/>
        <w:numPr>
          <w:ilvl w:val="0"/>
          <w:numId w:val="25"/>
        </w:numPr>
        <w:tabs>
          <w:tab w:pos="661" w:val="left" w:leader="none"/>
        </w:tabs>
        <w:spacing w:line="264" w:lineRule="auto" w:before="0" w:after="0"/>
        <w:ind w:left="660" w:right="838" w:hanging="360"/>
        <w:jc w:val="left"/>
        <w:rPr>
          <w:sz w:val="18"/>
        </w:rPr>
      </w:pPr>
      <w:r>
        <w:rPr>
          <w:sz w:val="18"/>
        </w:rPr>
        <w:t>identifying if the </w:t>
      </w:r>
      <w:r>
        <w:rPr>
          <w:i/>
          <w:sz w:val="18"/>
        </w:rPr>
        <w:t>Changing Tracks </w:t>
      </w:r>
      <w:r>
        <w:rPr>
          <w:sz w:val="18"/>
        </w:rPr>
        <w:t>action plans are progressing as intended at this stage of the long-term</w:t>
      </w:r>
      <w:r>
        <w:rPr>
          <w:spacing w:val="-2"/>
          <w:sz w:val="18"/>
        </w:rPr>
        <w:t> </w:t>
      </w:r>
      <w:r>
        <w:rPr>
          <w:sz w:val="18"/>
        </w:rPr>
        <w:t>strategy</w:t>
      </w:r>
    </w:p>
    <w:p>
      <w:pPr>
        <w:pStyle w:val="ListParagraph"/>
        <w:numPr>
          <w:ilvl w:val="0"/>
          <w:numId w:val="25"/>
        </w:numPr>
        <w:tabs>
          <w:tab w:pos="661" w:val="left" w:leader="none"/>
        </w:tabs>
        <w:spacing w:line="217" w:lineRule="exact" w:before="0" w:after="0"/>
        <w:ind w:left="660" w:right="0" w:hanging="361"/>
        <w:jc w:val="left"/>
        <w:rPr>
          <w:sz w:val="18"/>
        </w:rPr>
      </w:pPr>
      <w:r>
        <w:rPr>
          <w:sz w:val="18"/>
        </w:rPr>
        <w:t>learning what is working well to build on</w:t>
      </w:r>
      <w:r>
        <w:rPr>
          <w:spacing w:val="-6"/>
          <w:sz w:val="18"/>
        </w:rPr>
        <w:t> </w:t>
      </w:r>
      <w:r>
        <w:rPr>
          <w:sz w:val="18"/>
        </w:rPr>
        <w:t>achievements</w:t>
      </w:r>
    </w:p>
    <w:p>
      <w:pPr>
        <w:spacing w:after="0" w:line="217" w:lineRule="exact"/>
        <w:jc w:val="left"/>
        <w:rPr>
          <w:sz w:val="18"/>
        </w:rPr>
        <w:sectPr>
          <w:pgSz w:w="11910" w:h="16840"/>
          <w:pgMar w:header="650" w:footer="420" w:top="1340" w:bottom="620" w:left="1140" w:right="700"/>
        </w:sectPr>
      </w:pPr>
    </w:p>
    <w:p>
      <w:pPr>
        <w:pStyle w:val="ListParagraph"/>
        <w:numPr>
          <w:ilvl w:val="0"/>
          <w:numId w:val="25"/>
        </w:numPr>
        <w:tabs>
          <w:tab w:pos="661" w:val="left" w:leader="none"/>
        </w:tabs>
        <w:spacing w:line="240" w:lineRule="auto" w:before="109" w:after="0"/>
        <w:ind w:left="660" w:right="0" w:hanging="361"/>
        <w:jc w:val="left"/>
        <w:rPr>
          <w:sz w:val="18"/>
        </w:rPr>
      </w:pPr>
      <w:r>
        <w:rPr>
          <w:sz w:val="18"/>
        </w:rPr>
        <w:t>reflecting on what needs to be changed to keep improving things over the life of </w:t>
      </w:r>
      <w:r>
        <w:rPr>
          <w:i/>
          <w:sz w:val="18"/>
        </w:rPr>
        <w:t>Our</w:t>
      </w:r>
      <w:r>
        <w:rPr>
          <w:i/>
          <w:spacing w:val="-21"/>
          <w:sz w:val="18"/>
        </w:rPr>
        <w:t> </w:t>
      </w:r>
      <w:r>
        <w:rPr>
          <w:i/>
          <w:sz w:val="18"/>
        </w:rPr>
        <w:t>Way</w:t>
      </w:r>
      <w:r>
        <w:rPr>
          <w:sz w:val="18"/>
        </w:rPr>
        <w:t>.</w:t>
      </w:r>
    </w:p>
    <w:p>
      <w:pPr>
        <w:pStyle w:val="BodyText"/>
        <w:spacing w:before="6"/>
        <w:rPr>
          <w:sz w:val="21"/>
        </w:rPr>
      </w:pPr>
    </w:p>
    <w:p>
      <w:pPr>
        <w:pStyle w:val="BodyText"/>
        <w:ind w:left="300"/>
      </w:pPr>
      <w:r>
        <w:rPr/>
        <w:t>The first phase of the evaluation was guided by the following evaluation questions:</w:t>
      </w:r>
    </w:p>
    <w:p>
      <w:pPr>
        <w:pStyle w:val="BodyText"/>
        <w:spacing w:before="6"/>
        <w:rPr>
          <w:sz w:val="22"/>
        </w:rPr>
      </w:pPr>
    </w:p>
    <w:p>
      <w:pPr>
        <w:spacing w:before="0"/>
        <w:ind w:left="300" w:right="0" w:firstLine="0"/>
        <w:jc w:val="left"/>
        <w:rPr>
          <w:sz w:val="17"/>
        </w:rPr>
      </w:pPr>
      <w:r>
        <w:rPr>
          <w:color w:val="75787A"/>
          <w:sz w:val="17"/>
        </w:rPr>
        <w:t>Table 3.1 Initial evaluation questions</w:t>
      </w:r>
    </w:p>
    <w:p>
      <w:pPr>
        <w:pStyle w:val="BodyText"/>
        <w:spacing w:before="7"/>
        <w:rPr>
          <w:sz w:val="20"/>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3"/>
        <w:gridCol w:w="7183"/>
      </w:tblGrid>
      <w:tr>
        <w:trPr>
          <w:trHeight w:val="355" w:hRule="atLeast"/>
        </w:trPr>
        <w:tc>
          <w:tcPr>
            <w:tcW w:w="1763" w:type="dxa"/>
            <w:tcBorders>
              <w:top w:val="single" w:sz="24" w:space="0" w:color="61B5E4"/>
              <w:bottom w:val="single" w:sz="4" w:space="0" w:color="000000"/>
            </w:tcBorders>
          </w:tcPr>
          <w:p>
            <w:pPr>
              <w:pStyle w:val="TableParagraph"/>
              <w:rPr>
                <w:rFonts w:ascii="Times New Roman"/>
                <w:sz w:val="16"/>
              </w:rPr>
            </w:pPr>
          </w:p>
        </w:tc>
        <w:tc>
          <w:tcPr>
            <w:tcW w:w="7183" w:type="dxa"/>
            <w:tcBorders>
              <w:top w:val="single" w:sz="24" w:space="0" w:color="61B5E4"/>
              <w:bottom w:val="single" w:sz="4" w:space="0" w:color="000000"/>
            </w:tcBorders>
          </w:tcPr>
          <w:p>
            <w:pPr>
              <w:pStyle w:val="TableParagraph"/>
              <w:spacing w:before="57"/>
              <w:ind w:left="2560" w:right="2589"/>
              <w:jc w:val="center"/>
              <w:rPr>
                <w:b/>
                <w:sz w:val="17"/>
              </w:rPr>
            </w:pPr>
            <w:r>
              <w:rPr>
                <w:b/>
                <w:sz w:val="17"/>
              </w:rPr>
              <w:t>Evaluation questions</w:t>
            </w:r>
          </w:p>
        </w:tc>
      </w:tr>
      <w:tr>
        <w:trPr>
          <w:trHeight w:val="697" w:hRule="atLeast"/>
        </w:trPr>
        <w:tc>
          <w:tcPr>
            <w:tcW w:w="1763" w:type="dxa"/>
            <w:tcBorders>
              <w:top w:val="single" w:sz="4" w:space="0" w:color="000000"/>
              <w:bottom w:val="single" w:sz="4" w:space="0" w:color="000000"/>
            </w:tcBorders>
          </w:tcPr>
          <w:p>
            <w:pPr>
              <w:pStyle w:val="TableParagraph"/>
              <w:spacing w:line="278" w:lineRule="auto" w:before="90"/>
              <w:ind w:left="71" w:right="502"/>
              <w:rPr>
                <w:b/>
                <w:sz w:val="17"/>
              </w:rPr>
            </w:pPr>
            <w:r>
              <w:rPr>
                <w:b/>
                <w:sz w:val="17"/>
              </w:rPr>
              <w:t>Overarching question</w:t>
            </w:r>
          </w:p>
        </w:tc>
        <w:tc>
          <w:tcPr>
            <w:tcW w:w="7183" w:type="dxa"/>
            <w:tcBorders>
              <w:top w:val="single" w:sz="4" w:space="0" w:color="000000"/>
              <w:bottom w:val="single" w:sz="4" w:space="0" w:color="000000"/>
            </w:tcBorders>
          </w:tcPr>
          <w:p>
            <w:pPr>
              <w:pStyle w:val="TableParagraph"/>
              <w:spacing w:line="278" w:lineRule="auto" w:before="90"/>
              <w:ind w:left="27" w:right="483"/>
              <w:rPr>
                <w:sz w:val="17"/>
              </w:rPr>
            </w:pPr>
            <w:r>
              <w:rPr>
                <w:sz w:val="17"/>
              </w:rPr>
              <w:t>OQ1. To what extent have the policy settings required to enable change been established?</w:t>
            </w:r>
          </w:p>
        </w:tc>
      </w:tr>
      <w:tr>
        <w:trPr>
          <w:trHeight w:val="2033" w:hRule="atLeast"/>
        </w:trPr>
        <w:tc>
          <w:tcPr>
            <w:tcW w:w="1763" w:type="dxa"/>
            <w:tcBorders>
              <w:top w:val="single" w:sz="4" w:space="0" w:color="000000"/>
              <w:bottom w:val="single" w:sz="4" w:space="0" w:color="000000"/>
            </w:tcBorders>
          </w:tcPr>
          <w:p>
            <w:pPr>
              <w:pStyle w:val="TableParagraph"/>
              <w:spacing w:before="90"/>
              <w:ind w:left="14"/>
              <w:rPr>
                <w:b/>
                <w:sz w:val="17"/>
              </w:rPr>
            </w:pPr>
            <w:r>
              <w:rPr>
                <w:b/>
                <w:sz w:val="17"/>
              </w:rPr>
              <w:t>Outcome</w:t>
            </w:r>
          </w:p>
        </w:tc>
        <w:tc>
          <w:tcPr>
            <w:tcW w:w="7183" w:type="dxa"/>
            <w:tcBorders>
              <w:top w:val="single" w:sz="4" w:space="0" w:color="000000"/>
              <w:bottom w:val="single" w:sz="4" w:space="0" w:color="000000"/>
            </w:tcBorders>
          </w:tcPr>
          <w:p>
            <w:pPr>
              <w:pStyle w:val="TableParagraph"/>
              <w:spacing w:before="90"/>
              <w:ind w:left="27"/>
              <w:rPr>
                <w:i/>
                <w:sz w:val="17"/>
              </w:rPr>
            </w:pPr>
            <w:r>
              <w:rPr>
                <w:sz w:val="17"/>
              </w:rPr>
              <w:t>O1. To what extent are </w:t>
            </w:r>
            <w:r>
              <w:rPr>
                <w:i/>
                <w:sz w:val="17"/>
              </w:rPr>
              <w:t>Changing Tracks </w:t>
            </w:r>
            <w:r>
              <w:rPr>
                <w:sz w:val="17"/>
              </w:rPr>
              <w:t>actions contributing to the </w:t>
            </w:r>
            <w:r>
              <w:rPr>
                <w:i/>
                <w:sz w:val="17"/>
              </w:rPr>
              <w:t>Our Way</w:t>
            </w:r>
          </w:p>
          <w:p>
            <w:pPr>
              <w:pStyle w:val="TableParagraph"/>
              <w:spacing w:before="34"/>
              <w:ind w:left="27"/>
              <w:rPr>
                <w:sz w:val="17"/>
              </w:rPr>
            </w:pPr>
            <w:r>
              <w:rPr>
                <w:sz w:val="17"/>
              </w:rPr>
              <w:t>building blocks?</w:t>
            </w:r>
          </w:p>
          <w:p>
            <w:pPr>
              <w:pStyle w:val="TableParagraph"/>
              <w:spacing w:line="278" w:lineRule="auto" w:before="33"/>
              <w:ind w:left="27" w:right="78"/>
              <w:rPr>
                <w:sz w:val="17"/>
              </w:rPr>
            </w:pPr>
            <w:r>
              <w:rPr>
                <w:sz w:val="17"/>
              </w:rPr>
              <w:t>O2. How and to what extent have actions and initiatives delivered expected action plan level outcomes?</w:t>
            </w:r>
          </w:p>
          <w:p>
            <w:pPr>
              <w:pStyle w:val="TableParagraph"/>
              <w:spacing w:line="278" w:lineRule="auto" w:before="1"/>
              <w:ind w:left="27" w:right="808"/>
              <w:rPr>
                <w:sz w:val="17"/>
              </w:rPr>
            </w:pPr>
            <w:r>
              <w:rPr>
                <w:sz w:val="17"/>
              </w:rPr>
              <w:t>O3. What are the contextual factors and to what extent are they affecting (enabling and challenging) delivery of improved outcomes?</w:t>
            </w:r>
          </w:p>
          <w:p>
            <w:pPr>
              <w:pStyle w:val="TableParagraph"/>
              <w:spacing w:line="278" w:lineRule="auto" w:before="1"/>
              <w:ind w:left="27" w:right="323"/>
              <w:rPr>
                <w:sz w:val="17"/>
              </w:rPr>
            </w:pPr>
            <w:r>
              <w:rPr>
                <w:sz w:val="17"/>
              </w:rPr>
              <w:t>O4. To what extent have the outcomes of </w:t>
            </w:r>
            <w:r>
              <w:rPr>
                <w:i/>
                <w:sz w:val="17"/>
              </w:rPr>
              <w:t>Changing Tracks </w:t>
            </w:r>
            <w:r>
              <w:rPr>
                <w:sz w:val="17"/>
              </w:rPr>
              <w:t>contributed to Unite and Recover – Queensland’s Economic Recovery Plan objectives?</w:t>
            </w:r>
          </w:p>
        </w:tc>
      </w:tr>
      <w:tr>
        <w:trPr>
          <w:trHeight w:val="2275" w:hRule="atLeast"/>
        </w:trPr>
        <w:tc>
          <w:tcPr>
            <w:tcW w:w="1763" w:type="dxa"/>
            <w:tcBorders>
              <w:top w:val="single" w:sz="4" w:space="0" w:color="000000"/>
              <w:bottom w:val="single" w:sz="4" w:space="0" w:color="000000"/>
            </w:tcBorders>
          </w:tcPr>
          <w:p>
            <w:pPr>
              <w:pStyle w:val="TableParagraph"/>
              <w:spacing w:before="90"/>
              <w:ind w:left="14"/>
              <w:rPr>
                <w:b/>
                <w:sz w:val="17"/>
              </w:rPr>
            </w:pPr>
            <w:r>
              <w:rPr>
                <w:b/>
                <w:sz w:val="17"/>
              </w:rPr>
              <w:t>Impacts</w:t>
            </w:r>
          </w:p>
        </w:tc>
        <w:tc>
          <w:tcPr>
            <w:tcW w:w="7183" w:type="dxa"/>
            <w:tcBorders>
              <w:top w:val="single" w:sz="4" w:space="0" w:color="000000"/>
              <w:bottom w:val="single" w:sz="4" w:space="0" w:color="000000"/>
            </w:tcBorders>
          </w:tcPr>
          <w:p>
            <w:pPr>
              <w:pStyle w:val="TableParagraph"/>
              <w:spacing w:before="90"/>
              <w:ind w:left="27"/>
              <w:rPr>
                <w:sz w:val="17"/>
              </w:rPr>
            </w:pPr>
            <w:r>
              <w:rPr>
                <w:sz w:val="17"/>
              </w:rPr>
              <w:t>To what extent are outcomes and initiatives aligned to </w:t>
            </w:r>
            <w:r>
              <w:rPr>
                <w:i/>
                <w:sz w:val="17"/>
              </w:rPr>
              <w:t>Our Way </w:t>
            </w:r>
            <w:r>
              <w:rPr>
                <w:sz w:val="17"/>
              </w:rPr>
              <w:t>contributing to:</w:t>
            </w:r>
          </w:p>
          <w:p>
            <w:pPr>
              <w:pStyle w:val="TableParagraph"/>
              <w:numPr>
                <w:ilvl w:val="0"/>
                <w:numId w:val="26"/>
              </w:numPr>
              <w:tabs>
                <w:tab w:pos="387" w:val="left" w:leader="none"/>
                <w:tab w:pos="388" w:val="left" w:leader="none"/>
              </w:tabs>
              <w:spacing w:line="278" w:lineRule="auto" w:before="34" w:after="0"/>
              <w:ind w:left="387" w:right="171" w:hanging="360"/>
              <w:jc w:val="left"/>
              <w:rPr>
                <w:sz w:val="17"/>
              </w:rPr>
            </w:pPr>
            <w:r>
              <w:rPr>
                <w:sz w:val="17"/>
              </w:rPr>
              <w:t>IM1: Aboriginal and Torres Strait Islander children experiencing parity across wellbeing domains, where parity is Aboriginal and Torres Strait Islander peoples’</w:t>
            </w:r>
            <w:r>
              <w:rPr>
                <w:spacing w:val="-1"/>
                <w:sz w:val="17"/>
              </w:rPr>
              <w:t> </w:t>
            </w:r>
            <w:r>
              <w:rPr>
                <w:sz w:val="17"/>
              </w:rPr>
              <w:t>aspiration</w:t>
            </w:r>
          </w:p>
          <w:p>
            <w:pPr>
              <w:pStyle w:val="TableParagraph"/>
              <w:numPr>
                <w:ilvl w:val="0"/>
                <w:numId w:val="26"/>
              </w:numPr>
              <w:tabs>
                <w:tab w:pos="387" w:val="left" w:leader="none"/>
                <w:tab w:pos="388" w:val="left" w:leader="none"/>
              </w:tabs>
              <w:spacing w:line="276" w:lineRule="auto" w:before="0" w:after="0"/>
              <w:ind w:left="387" w:right="132" w:hanging="360"/>
              <w:jc w:val="left"/>
              <w:rPr>
                <w:sz w:val="17"/>
              </w:rPr>
            </w:pPr>
            <w:r>
              <w:rPr>
                <w:sz w:val="17"/>
              </w:rPr>
              <w:t>IM2. Closing the gap in life outcomes for Aboriginal and Torres Strait Islander children and</w:t>
            </w:r>
            <w:r>
              <w:rPr>
                <w:spacing w:val="-1"/>
                <w:sz w:val="17"/>
              </w:rPr>
              <w:t> </w:t>
            </w:r>
            <w:r>
              <w:rPr>
                <w:sz w:val="17"/>
              </w:rPr>
              <w:t>families</w:t>
            </w:r>
          </w:p>
          <w:p>
            <w:pPr>
              <w:pStyle w:val="TableParagraph"/>
              <w:numPr>
                <w:ilvl w:val="0"/>
                <w:numId w:val="26"/>
              </w:numPr>
              <w:tabs>
                <w:tab w:pos="387" w:val="left" w:leader="none"/>
                <w:tab w:pos="388" w:val="left" w:leader="none"/>
              </w:tabs>
              <w:spacing w:line="276" w:lineRule="auto" w:before="2" w:after="0"/>
              <w:ind w:left="387" w:right="185" w:hanging="360"/>
              <w:jc w:val="left"/>
              <w:rPr>
                <w:sz w:val="17"/>
              </w:rPr>
            </w:pPr>
            <w:r>
              <w:rPr>
                <w:sz w:val="17"/>
              </w:rPr>
              <w:t>IM3. Eliminating the disproportionate representation of Aboriginal and Torres Strait Islander children and families in the child protection</w:t>
            </w:r>
            <w:r>
              <w:rPr>
                <w:spacing w:val="-7"/>
                <w:sz w:val="17"/>
              </w:rPr>
              <w:t> </w:t>
            </w:r>
            <w:r>
              <w:rPr>
                <w:sz w:val="17"/>
              </w:rPr>
              <w:t>system</w:t>
            </w:r>
          </w:p>
          <w:p>
            <w:pPr>
              <w:pStyle w:val="TableParagraph"/>
              <w:numPr>
                <w:ilvl w:val="0"/>
                <w:numId w:val="26"/>
              </w:numPr>
              <w:tabs>
                <w:tab w:pos="387" w:val="left" w:leader="none"/>
                <w:tab w:pos="388" w:val="left" w:leader="none"/>
              </w:tabs>
              <w:spacing w:line="240" w:lineRule="auto" w:before="3" w:after="0"/>
              <w:ind w:left="387" w:right="0" w:hanging="361"/>
              <w:jc w:val="left"/>
              <w:rPr>
                <w:sz w:val="17"/>
              </w:rPr>
            </w:pPr>
            <w:r>
              <w:rPr>
                <w:sz w:val="17"/>
              </w:rPr>
              <w:t>IM4. Providing benefit across all groups in the </w:t>
            </w:r>
            <w:r>
              <w:rPr>
                <w:i/>
                <w:sz w:val="17"/>
              </w:rPr>
              <w:t>Changing Tracks </w:t>
            </w:r>
            <w:r>
              <w:rPr>
                <w:sz w:val="17"/>
              </w:rPr>
              <w:t>Priority</w:t>
            </w:r>
            <w:r>
              <w:rPr>
                <w:spacing w:val="-21"/>
                <w:sz w:val="17"/>
              </w:rPr>
              <w:t> </w:t>
            </w:r>
            <w:r>
              <w:rPr>
                <w:sz w:val="17"/>
              </w:rPr>
              <w:t>Areas.</w:t>
            </w:r>
          </w:p>
        </w:tc>
      </w:tr>
      <w:tr>
        <w:trPr>
          <w:trHeight w:val="698" w:hRule="atLeast"/>
        </w:trPr>
        <w:tc>
          <w:tcPr>
            <w:tcW w:w="1763" w:type="dxa"/>
            <w:tcBorders>
              <w:top w:val="single" w:sz="4" w:space="0" w:color="000000"/>
              <w:bottom w:val="single" w:sz="4" w:space="0" w:color="000000"/>
            </w:tcBorders>
          </w:tcPr>
          <w:p>
            <w:pPr>
              <w:pStyle w:val="TableParagraph"/>
              <w:spacing w:before="90"/>
              <w:ind w:left="71"/>
              <w:rPr>
                <w:b/>
                <w:sz w:val="17"/>
              </w:rPr>
            </w:pPr>
            <w:r>
              <w:rPr>
                <w:b/>
                <w:sz w:val="17"/>
              </w:rPr>
              <w:t>Recommendation</w:t>
            </w:r>
          </w:p>
        </w:tc>
        <w:tc>
          <w:tcPr>
            <w:tcW w:w="7183" w:type="dxa"/>
            <w:tcBorders>
              <w:top w:val="single" w:sz="4" w:space="0" w:color="000000"/>
              <w:bottom w:val="single" w:sz="4" w:space="0" w:color="000000"/>
            </w:tcBorders>
          </w:tcPr>
          <w:p>
            <w:pPr>
              <w:pStyle w:val="TableParagraph"/>
              <w:spacing w:line="278" w:lineRule="auto" w:before="90"/>
              <w:ind w:left="27" w:right="735"/>
              <w:rPr>
                <w:sz w:val="17"/>
              </w:rPr>
            </w:pPr>
            <w:r>
              <w:rPr>
                <w:sz w:val="17"/>
              </w:rPr>
              <w:t>RM1. What further action is needed to sustain positive outcomes and drive continuous improvement and achievement of outcomes?</w:t>
            </w:r>
          </w:p>
        </w:tc>
      </w:tr>
    </w:tbl>
    <w:p>
      <w:pPr>
        <w:pStyle w:val="BodyText"/>
        <w:spacing w:before="5"/>
        <w:rPr>
          <w:sz w:val="21"/>
        </w:rPr>
      </w:pPr>
    </w:p>
    <w:p>
      <w:pPr>
        <w:pStyle w:val="BodyText"/>
        <w:spacing w:line="264" w:lineRule="auto"/>
        <w:ind w:left="300" w:right="1099"/>
      </w:pPr>
      <w:r>
        <w:rPr/>
        <w:t>It should be noted that the revised monitoring and evaluation framework (see </w:t>
      </w:r>
      <w:hyperlink w:history="true" w:anchor="_bookmark107">
        <w:r>
          <w:rPr/>
          <w:t>Appendix D</w:t>
        </w:r>
      </w:hyperlink>
      <w:r>
        <w:rPr/>
        <w:t>) has incorporated these evaluation questions.</w:t>
      </w:r>
    </w:p>
    <w:p>
      <w:pPr>
        <w:pStyle w:val="Heading4"/>
        <w:numPr>
          <w:ilvl w:val="2"/>
          <w:numId w:val="24"/>
        </w:numPr>
        <w:tabs>
          <w:tab w:pos="1320" w:val="left" w:leader="none"/>
          <w:tab w:pos="1321" w:val="left" w:leader="none"/>
        </w:tabs>
        <w:spacing w:line="240" w:lineRule="auto" w:before="169" w:after="0"/>
        <w:ind w:left="1320" w:right="0" w:hanging="1021"/>
        <w:jc w:val="left"/>
      </w:pPr>
      <w:bookmarkStart w:name="_bookmark31" w:id="46"/>
      <w:bookmarkEnd w:id="46"/>
      <w:r>
        <w:rPr>
          <w:b w:val="0"/>
        </w:rPr>
      </w:r>
      <w:bookmarkStart w:name="_bookmark31" w:id="47"/>
      <w:bookmarkEnd w:id="47"/>
      <w:r>
        <w:rPr/>
        <w:t>S</w:t>
      </w:r>
      <w:r>
        <w:rPr/>
        <w:t>ummary of findings from the first phase of</w:t>
      </w:r>
      <w:r>
        <w:rPr>
          <w:spacing w:val="-1"/>
        </w:rPr>
        <w:t> </w:t>
      </w:r>
      <w:r>
        <w:rPr/>
        <w:t>evaluation</w:t>
      </w:r>
    </w:p>
    <w:p>
      <w:pPr>
        <w:pStyle w:val="BodyText"/>
        <w:spacing w:line="264" w:lineRule="auto" w:before="21"/>
        <w:ind w:left="300" w:right="775"/>
      </w:pPr>
      <w:r>
        <w:rPr/>
        <w:t>Between 2020-21, the following stakeholders were engaged as part of the evaluation process – government stakeholders, partner organisations, service providers, and Aboriginal Torres Strait Islander peoples (children, young people, families and community representatives). Through these engagements, the following findings were identified:</w:t>
      </w:r>
    </w:p>
    <w:p>
      <w:pPr>
        <w:pStyle w:val="Heading4"/>
        <w:spacing w:before="169"/>
      </w:pPr>
      <w:r>
        <w:rPr>
          <w:color w:val="0096A9"/>
        </w:rPr>
        <w:t>All Changing Tracks actions are complete or underway.</w:t>
      </w:r>
    </w:p>
    <w:p>
      <w:pPr>
        <w:pStyle w:val="BodyText"/>
        <w:spacing w:line="264" w:lineRule="auto" w:before="192"/>
        <w:ind w:left="300" w:right="931"/>
      </w:pPr>
      <w:r>
        <w:rPr/>
        <w:t>The second action plan comprises 24 targeted actions, which collectively seek to set the foundations for system change. A total of 5 actions have been completed, and 15 are in progress and on track to be delivered by the end of 2022</w:t>
      </w:r>
      <w:r>
        <w:rPr>
          <w:position w:val="6"/>
          <w:sz w:val="12"/>
        </w:rPr>
        <w:t>10</w:t>
      </w:r>
      <w:r>
        <w:rPr/>
        <w:t>.</w:t>
      </w:r>
    </w:p>
    <w:p>
      <w:pPr>
        <w:pStyle w:val="BodyText"/>
        <w:spacing w:line="264" w:lineRule="auto" w:before="168"/>
        <w:ind w:left="300" w:right="741"/>
      </w:pPr>
      <w:r>
        <w:rPr/>
        <w:t>There had been positive progress in specific areas – such as the rollout of the Aboriginal and Torres Strait Islander Family Wellbeing Services, amendments to the </w:t>
      </w:r>
      <w:r>
        <w:rPr>
          <w:i/>
        </w:rPr>
        <w:t>Child Protection Act 1999 </w:t>
      </w:r>
      <w:r>
        <w:rPr/>
        <w:t>and the establishment of the Queensland First Children and Families Board. However, the first phase of the evaluation also identified a range of system level factors that were positively and negatively influencing further progress. The evaluation identified the need to articulate the system change sought through </w:t>
      </w:r>
      <w:r>
        <w:rPr>
          <w:i/>
        </w:rPr>
        <w:t>Our Way, </w:t>
      </w:r>
      <w:r>
        <w:rPr/>
        <w:t>and the extent to which all stakeholders can share accountability and contribute to the attainment of </w:t>
      </w:r>
      <w:r>
        <w:rPr>
          <w:i/>
        </w:rPr>
        <w:t>Our Way’s</w:t>
      </w:r>
      <w:r>
        <w:rPr>
          <w:i/>
          <w:spacing w:val="-6"/>
        </w:rPr>
        <w:t> </w:t>
      </w:r>
      <w:r>
        <w:rPr/>
        <w:t>objectives.</w:t>
      </w:r>
    </w:p>
    <w:p>
      <w:pPr>
        <w:pStyle w:val="BodyText"/>
        <w:spacing w:before="164"/>
        <w:ind w:left="300"/>
      </w:pPr>
      <w:r>
        <w:rPr/>
        <w:t>Findings related to making systemic changes to achieve </w:t>
      </w:r>
      <w:r>
        <w:rPr>
          <w:i/>
        </w:rPr>
        <w:t>Our Way</w:t>
      </w:r>
      <w:r>
        <w:rPr/>
        <w:t>’s objectives include:</w:t>
      </w:r>
    </w:p>
    <w:p>
      <w:pPr>
        <w:pStyle w:val="BodyText"/>
        <w:spacing w:before="7"/>
        <w:rPr>
          <w:sz w:val="17"/>
        </w:rPr>
      </w:pPr>
      <w:r>
        <w:rPr/>
        <w:pict>
          <v:shape style="position:absolute;margin-left:72.024002pt;margin-top:12.886465pt;width:144.050pt;height:.1pt;mso-position-horizontal-relative:page;mso-position-vertical-relative:paragraph;z-index:-251547648;mso-wrap-distance-left:0;mso-wrap-distance-right:0" coordorigin="1440,258" coordsize="2881,0" path="m1440,258l4321,258e" filled="false" stroked="true" strokeweight=".47998pt" strokecolor="#000000">
            <v:path arrowok="t"/>
            <v:stroke dashstyle="solid"/>
            <w10:wrap type="topAndBottom"/>
          </v:shape>
        </w:pict>
      </w:r>
    </w:p>
    <w:p>
      <w:pPr>
        <w:pStyle w:val="BodyText"/>
        <w:spacing w:before="7"/>
        <w:rPr>
          <w:sz w:val="10"/>
        </w:rPr>
      </w:pPr>
    </w:p>
    <w:p>
      <w:pPr>
        <w:spacing w:before="102"/>
        <w:ind w:left="300" w:right="0" w:firstLine="0"/>
        <w:jc w:val="left"/>
        <w:rPr>
          <w:sz w:val="14"/>
        </w:rPr>
      </w:pPr>
      <w:r>
        <w:rPr>
          <w:position w:val="5"/>
          <w:sz w:val="9"/>
        </w:rPr>
        <w:t>10 </w:t>
      </w:r>
      <w:r>
        <w:rPr>
          <w:sz w:val="14"/>
        </w:rPr>
        <w:t>Deloitte (December 2021) </w:t>
      </w:r>
      <w:r>
        <w:rPr>
          <w:i/>
          <w:sz w:val="14"/>
        </w:rPr>
        <w:t>Our Way </w:t>
      </w:r>
      <w:r>
        <w:rPr>
          <w:sz w:val="14"/>
        </w:rPr>
        <w:t>Annual Progress Report 2021</w:t>
      </w:r>
    </w:p>
    <w:p>
      <w:pPr>
        <w:spacing w:after="0"/>
        <w:jc w:val="left"/>
        <w:rPr>
          <w:sz w:val="14"/>
        </w:rPr>
        <w:sectPr>
          <w:pgSz w:w="11910" w:h="16840"/>
          <w:pgMar w:header="650" w:footer="420" w:top="1340" w:bottom="620" w:left="1140" w:right="700"/>
        </w:sectPr>
      </w:pPr>
    </w:p>
    <w:p>
      <w:pPr>
        <w:pStyle w:val="ListParagraph"/>
        <w:numPr>
          <w:ilvl w:val="0"/>
          <w:numId w:val="21"/>
        </w:numPr>
        <w:tabs>
          <w:tab w:pos="660" w:val="left" w:leader="none"/>
          <w:tab w:pos="661" w:val="left" w:leader="none"/>
        </w:tabs>
        <w:spacing w:line="264" w:lineRule="auto" w:before="109" w:after="0"/>
        <w:ind w:left="660" w:right="803" w:hanging="360"/>
        <w:jc w:val="left"/>
        <w:rPr>
          <w:sz w:val="18"/>
        </w:rPr>
      </w:pPr>
      <w:r>
        <w:rPr>
          <w:b/>
          <w:sz w:val="18"/>
        </w:rPr>
        <w:t>While there have been positive changes, the degree of improvements has been inconsistent across the system. The Government is still making decisions that do not meet communities’ needs. </w:t>
      </w:r>
      <w:r>
        <w:rPr>
          <w:sz w:val="18"/>
        </w:rPr>
        <w:t>There have been some positive changes in the policy and legislative settings. For example, stakeholders cited the amendments to the </w:t>
      </w:r>
      <w:r>
        <w:rPr>
          <w:i/>
          <w:sz w:val="18"/>
        </w:rPr>
        <w:t>Child Protection </w:t>
      </w:r>
      <w:r>
        <w:rPr>
          <w:i/>
          <w:sz w:val="18"/>
        </w:rPr>
        <w:t>Act 1999 </w:t>
      </w:r>
      <w:r>
        <w:rPr>
          <w:sz w:val="18"/>
        </w:rPr>
        <w:t>as a welcomed change in terms of enabling self-determination for Aboriginal and Torres Strait Islander peoples. However, at the same time, stakeholders also highlighted other policy decisions which conflict with the intent of </w:t>
      </w:r>
      <w:r>
        <w:rPr>
          <w:i/>
          <w:sz w:val="18"/>
        </w:rPr>
        <w:t>Our Way </w:t>
      </w:r>
      <w:r>
        <w:rPr>
          <w:sz w:val="18"/>
        </w:rPr>
        <w:t>across other parts of the system. These include changes to adoption rules and court-based GPS</w:t>
      </w:r>
      <w:r>
        <w:rPr>
          <w:spacing w:val="-11"/>
          <w:sz w:val="18"/>
        </w:rPr>
        <w:t> </w:t>
      </w:r>
      <w:r>
        <w:rPr>
          <w:sz w:val="18"/>
        </w:rPr>
        <w:t>monitoring.</w:t>
      </w:r>
    </w:p>
    <w:p>
      <w:pPr>
        <w:pStyle w:val="ListParagraph"/>
        <w:numPr>
          <w:ilvl w:val="0"/>
          <w:numId w:val="21"/>
        </w:numPr>
        <w:tabs>
          <w:tab w:pos="660" w:val="left" w:leader="none"/>
          <w:tab w:pos="661" w:val="left" w:leader="none"/>
        </w:tabs>
        <w:spacing w:line="261" w:lineRule="auto" w:before="0" w:after="0"/>
        <w:ind w:left="660" w:right="803" w:hanging="360"/>
        <w:jc w:val="left"/>
        <w:rPr>
          <w:sz w:val="18"/>
        </w:rPr>
      </w:pPr>
      <w:r>
        <w:rPr>
          <w:b/>
          <w:sz w:val="18"/>
        </w:rPr>
        <w:t>There is variability in the role key agencies are playing to implement </w:t>
      </w:r>
      <w:r>
        <w:rPr>
          <w:b/>
          <w:i/>
          <w:sz w:val="18"/>
        </w:rPr>
        <w:t>Our Way</w:t>
      </w:r>
      <w:r>
        <w:rPr>
          <w:sz w:val="18"/>
        </w:rPr>
        <w:t>. In order to influence key determinants of life outcomes of Aboriginal and Torres Strait Islander children – as originally anticipated by </w:t>
      </w:r>
      <w:r>
        <w:rPr>
          <w:i/>
          <w:sz w:val="18"/>
        </w:rPr>
        <w:t>Our Way </w:t>
      </w:r>
      <w:r>
        <w:rPr>
          <w:sz w:val="18"/>
        </w:rPr>
        <w:t>– a whole-of-government approach is required. However, there are variations in the implementation progress of actions and levels of commitments across individual government</w:t>
      </w:r>
      <w:r>
        <w:rPr>
          <w:spacing w:val="-4"/>
          <w:sz w:val="18"/>
        </w:rPr>
        <w:t> </w:t>
      </w:r>
      <w:r>
        <w:rPr>
          <w:sz w:val="18"/>
        </w:rPr>
        <w:t>agencies.</w:t>
      </w:r>
    </w:p>
    <w:p>
      <w:pPr>
        <w:pStyle w:val="ListParagraph"/>
        <w:numPr>
          <w:ilvl w:val="0"/>
          <w:numId w:val="21"/>
        </w:numPr>
        <w:tabs>
          <w:tab w:pos="660" w:val="left" w:leader="none"/>
          <w:tab w:pos="661" w:val="left" w:leader="none"/>
        </w:tabs>
        <w:spacing w:line="264" w:lineRule="auto" w:before="0" w:after="0"/>
        <w:ind w:left="660" w:right="991" w:hanging="360"/>
        <w:jc w:val="left"/>
        <w:rPr>
          <w:sz w:val="18"/>
        </w:rPr>
      </w:pPr>
      <w:r>
        <w:rPr>
          <w:b/>
          <w:sz w:val="18"/>
        </w:rPr>
        <w:t>The community remains largely unaware of </w:t>
      </w:r>
      <w:r>
        <w:rPr>
          <w:b/>
          <w:i/>
          <w:sz w:val="18"/>
        </w:rPr>
        <w:t>Our Way</w:t>
      </w:r>
      <w:r>
        <w:rPr>
          <w:b/>
          <w:sz w:val="18"/>
        </w:rPr>
        <w:t>. </w:t>
      </w:r>
      <w:r>
        <w:rPr>
          <w:sz w:val="18"/>
        </w:rPr>
        <w:t>Although </w:t>
      </w:r>
      <w:r>
        <w:rPr>
          <w:i/>
          <w:sz w:val="18"/>
        </w:rPr>
        <w:t>Our Way </w:t>
      </w:r>
      <w:r>
        <w:rPr>
          <w:sz w:val="18"/>
        </w:rPr>
        <w:t>has been implemented since 2017, there is limited awareness and a lack of broad understanding of its intent and approach among community leaders and members – who are some of the core stakeholders of </w:t>
      </w:r>
      <w:r>
        <w:rPr>
          <w:i/>
          <w:sz w:val="18"/>
        </w:rPr>
        <w:t>Our Way</w:t>
      </w:r>
      <w:r>
        <w:rPr>
          <w:sz w:val="18"/>
        </w:rPr>
        <w:t>. In contrast, government stakeholders report higher levels of awareness.</w:t>
      </w:r>
    </w:p>
    <w:p>
      <w:pPr>
        <w:pStyle w:val="ListParagraph"/>
        <w:numPr>
          <w:ilvl w:val="0"/>
          <w:numId w:val="21"/>
        </w:numPr>
        <w:tabs>
          <w:tab w:pos="660" w:val="left" w:leader="none"/>
          <w:tab w:pos="661" w:val="left" w:leader="none"/>
        </w:tabs>
        <w:spacing w:line="261" w:lineRule="auto" w:before="0" w:after="0"/>
        <w:ind w:left="660" w:right="952" w:hanging="360"/>
        <w:jc w:val="left"/>
        <w:rPr>
          <w:sz w:val="18"/>
        </w:rPr>
      </w:pPr>
      <w:r>
        <w:rPr>
          <w:b/>
          <w:sz w:val="18"/>
        </w:rPr>
        <w:t>The strength of accountability mechanisms vary by government agency and service provider</w:t>
      </w:r>
      <w:r>
        <w:rPr>
          <w:sz w:val="18"/>
        </w:rPr>
        <w:t>. While there are some mechanisms to hold government agencies and service providers accountable to Aboriginal and Torres Strait Islander peoples in place, these are not consistent across government agencies nor funded service</w:t>
      </w:r>
      <w:r>
        <w:rPr>
          <w:spacing w:val="-8"/>
          <w:sz w:val="18"/>
        </w:rPr>
        <w:t> </w:t>
      </w:r>
      <w:r>
        <w:rPr>
          <w:sz w:val="18"/>
        </w:rPr>
        <w:t>providers.</w:t>
      </w:r>
    </w:p>
    <w:p>
      <w:pPr>
        <w:pStyle w:val="ListParagraph"/>
        <w:numPr>
          <w:ilvl w:val="0"/>
          <w:numId w:val="21"/>
        </w:numPr>
        <w:tabs>
          <w:tab w:pos="660" w:val="left" w:leader="none"/>
          <w:tab w:pos="661" w:val="left" w:leader="none"/>
        </w:tabs>
        <w:spacing w:line="261" w:lineRule="auto" w:before="0" w:after="0"/>
        <w:ind w:left="660" w:right="920" w:hanging="360"/>
        <w:jc w:val="left"/>
        <w:rPr>
          <w:sz w:val="18"/>
        </w:rPr>
      </w:pPr>
      <w:r>
        <w:rPr>
          <w:b/>
          <w:sz w:val="18"/>
        </w:rPr>
        <w:t>Some systemic barriers remain which have prevented improvements in Aboriginal and Torres Strait Islander families’ access to culturally safe services</w:t>
      </w:r>
      <w:r>
        <w:rPr>
          <w:sz w:val="18"/>
        </w:rPr>
        <w:t>. These include insufficient translation of cultural safety and cultural competence into practice at the frontline of service delivery. This is resulting in an unwelcoming environment across all facets of delivery (built environment, design, location, lack of Indigenous</w:t>
      </w:r>
      <w:r>
        <w:rPr>
          <w:spacing w:val="-16"/>
          <w:sz w:val="18"/>
        </w:rPr>
        <w:t> </w:t>
      </w:r>
      <w:r>
        <w:rPr>
          <w:sz w:val="18"/>
        </w:rPr>
        <w:t>staff).</w:t>
      </w:r>
    </w:p>
    <w:p>
      <w:pPr>
        <w:pStyle w:val="BodyText"/>
        <w:spacing w:before="1"/>
        <w:rPr>
          <w:sz w:val="20"/>
        </w:rPr>
      </w:pPr>
    </w:p>
    <w:p>
      <w:pPr>
        <w:pStyle w:val="Heading4"/>
        <w:spacing w:line="264" w:lineRule="auto" w:before="1"/>
        <w:ind w:right="971"/>
      </w:pPr>
      <w:r>
        <w:rPr>
          <w:color w:val="0096A9"/>
        </w:rPr>
        <w:t>The first phase of the evaluation identified a need to recalibrate the implementation of future action plans to ensure that the objectives of </w:t>
      </w:r>
      <w:r>
        <w:rPr>
          <w:i/>
          <w:color w:val="0096A9"/>
        </w:rPr>
        <w:t>Our Way </w:t>
      </w:r>
      <w:r>
        <w:rPr>
          <w:color w:val="0096A9"/>
        </w:rPr>
        <w:t>can be attained.</w:t>
      </w:r>
    </w:p>
    <w:p>
      <w:pPr>
        <w:pStyle w:val="BodyText"/>
        <w:spacing w:line="264" w:lineRule="auto" w:before="169"/>
        <w:ind w:left="300" w:right="1062"/>
      </w:pPr>
      <w:r>
        <w:rPr/>
        <w:t>It was recommended for DCYJMA to focus on the following key aspects to strengthen the future implementation of </w:t>
      </w:r>
      <w:r>
        <w:rPr>
          <w:i/>
        </w:rPr>
        <w:t>Our Way</w:t>
      </w:r>
      <w:r>
        <w:rPr/>
        <w:t>:</w:t>
      </w:r>
    </w:p>
    <w:p>
      <w:pPr>
        <w:pStyle w:val="ListParagraph"/>
        <w:numPr>
          <w:ilvl w:val="0"/>
          <w:numId w:val="21"/>
        </w:numPr>
        <w:tabs>
          <w:tab w:pos="660" w:val="left" w:leader="none"/>
          <w:tab w:pos="661" w:val="left" w:leader="none"/>
        </w:tabs>
        <w:spacing w:line="261" w:lineRule="auto" w:before="169" w:after="0"/>
        <w:ind w:left="660" w:right="947" w:hanging="360"/>
        <w:jc w:val="left"/>
        <w:rPr>
          <w:sz w:val="18"/>
        </w:rPr>
      </w:pPr>
      <w:r>
        <w:rPr>
          <w:sz w:val="18"/>
        </w:rPr>
        <w:t>Develop a whole-of-government governance approach (or centralised point of accountability) to enable key organisations responsible for the delivery of </w:t>
      </w:r>
      <w:r>
        <w:rPr>
          <w:i/>
          <w:sz w:val="18"/>
        </w:rPr>
        <w:t>Our Way </w:t>
      </w:r>
      <w:r>
        <w:rPr>
          <w:sz w:val="18"/>
        </w:rPr>
        <w:t>to come together and influence delivery against action</w:t>
      </w:r>
      <w:r>
        <w:rPr>
          <w:spacing w:val="-5"/>
          <w:sz w:val="18"/>
        </w:rPr>
        <w:t> </w:t>
      </w:r>
      <w:r>
        <w:rPr>
          <w:sz w:val="18"/>
        </w:rPr>
        <w:t>plans.</w:t>
      </w:r>
    </w:p>
    <w:p>
      <w:pPr>
        <w:pStyle w:val="ListParagraph"/>
        <w:numPr>
          <w:ilvl w:val="0"/>
          <w:numId w:val="21"/>
        </w:numPr>
        <w:tabs>
          <w:tab w:pos="660" w:val="left" w:leader="none"/>
          <w:tab w:pos="661" w:val="left" w:leader="none"/>
        </w:tabs>
        <w:spacing w:line="261" w:lineRule="auto" w:before="3" w:after="0"/>
        <w:ind w:left="660" w:right="1323" w:hanging="360"/>
        <w:jc w:val="left"/>
        <w:rPr>
          <w:sz w:val="18"/>
        </w:rPr>
      </w:pPr>
      <w:r>
        <w:rPr>
          <w:sz w:val="18"/>
        </w:rPr>
        <w:t>Co-develop KPIs and reporting across government agencies and service providers. These reporting requirements should be embedded in overarching contractual</w:t>
      </w:r>
      <w:r>
        <w:rPr>
          <w:spacing w:val="-24"/>
          <w:sz w:val="18"/>
        </w:rPr>
        <w:t> </w:t>
      </w:r>
      <w:r>
        <w:rPr>
          <w:sz w:val="18"/>
        </w:rPr>
        <w:t>arrangements.</w:t>
      </w:r>
    </w:p>
    <w:p>
      <w:pPr>
        <w:pStyle w:val="ListParagraph"/>
        <w:numPr>
          <w:ilvl w:val="0"/>
          <w:numId w:val="21"/>
        </w:numPr>
        <w:tabs>
          <w:tab w:pos="660" w:val="left" w:leader="none"/>
          <w:tab w:pos="661" w:val="left" w:leader="none"/>
        </w:tabs>
        <w:spacing w:line="261" w:lineRule="auto" w:before="1" w:after="0"/>
        <w:ind w:left="660" w:right="764" w:hanging="360"/>
        <w:jc w:val="left"/>
        <w:rPr>
          <w:sz w:val="18"/>
        </w:rPr>
      </w:pPr>
      <w:r>
        <w:rPr>
          <w:sz w:val="18"/>
        </w:rPr>
        <w:t>Undertake a whole-of-government co-design process, involving partner organisations, which clearly describe and transparently document the scope of responsibility for lead and supporting agencies against each action in the action</w:t>
      </w:r>
      <w:r>
        <w:rPr>
          <w:spacing w:val="-4"/>
          <w:sz w:val="18"/>
        </w:rPr>
        <w:t> </w:t>
      </w:r>
      <w:r>
        <w:rPr>
          <w:sz w:val="18"/>
        </w:rPr>
        <w:t>plans.</w:t>
      </w:r>
    </w:p>
    <w:p>
      <w:pPr>
        <w:pStyle w:val="ListParagraph"/>
        <w:numPr>
          <w:ilvl w:val="0"/>
          <w:numId w:val="21"/>
        </w:numPr>
        <w:tabs>
          <w:tab w:pos="660" w:val="left" w:leader="none"/>
          <w:tab w:pos="661" w:val="left" w:leader="none"/>
        </w:tabs>
        <w:spacing w:line="261" w:lineRule="auto" w:before="3" w:after="0"/>
        <w:ind w:left="660" w:right="819" w:hanging="360"/>
        <w:jc w:val="left"/>
        <w:rPr>
          <w:sz w:val="18"/>
        </w:rPr>
      </w:pPr>
      <w:r>
        <w:rPr>
          <w:sz w:val="18"/>
        </w:rPr>
        <w:t>Align the WOF across all agencies (see Secti</w:t>
      </w:r>
      <w:hyperlink w:history="true" w:anchor="_bookmark19">
        <w:r>
          <w:rPr>
            <w:sz w:val="18"/>
          </w:rPr>
          <w:t>on 2.2.2 </w:t>
        </w:r>
      </w:hyperlink>
      <w:r>
        <w:rPr>
          <w:sz w:val="18"/>
        </w:rPr>
        <w:t>for more information on WOF). For instance, this would involve embedding the eight wellbeing domains in WOF in </w:t>
      </w:r>
      <w:r>
        <w:rPr>
          <w:i/>
          <w:sz w:val="18"/>
        </w:rPr>
        <w:t>Our Way </w:t>
      </w:r>
      <w:r>
        <w:rPr>
          <w:sz w:val="18"/>
        </w:rPr>
        <w:t>action design and performance</w:t>
      </w:r>
      <w:r>
        <w:rPr>
          <w:spacing w:val="-2"/>
          <w:sz w:val="18"/>
        </w:rPr>
        <w:t> </w:t>
      </w:r>
      <w:r>
        <w:rPr>
          <w:sz w:val="18"/>
        </w:rPr>
        <w:t>measurement.</w:t>
      </w:r>
    </w:p>
    <w:p>
      <w:pPr>
        <w:pStyle w:val="Heading4"/>
        <w:numPr>
          <w:ilvl w:val="2"/>
          <w:numId w:val="24"/>
        </w:numPr>
        <w:tabs>
          <w:tab w:pos="1320" w:val="left" w:leader="none"/>
          <w:tab w:pos="1321" w:val="left" w:leader="none"/>
        </w:tabs>
        <w:spacing w:line="240" w:lineRule="auto" w:before="173" w:after="0"/>
        <w:ind w:left="1320" w:right="0" w:hanging="1021"/>
        <w:jc w:val="left"/>
      </w:pPr>
      <w:bookmarkStart w:name="_bookmark32" w:id="48"/>
      <w:bookmarkEnd w:id="48"/>
      <w:r>
        <w:rPr>
          <w:b w:val="0"/>
        </w:rPr>
      </w:r>
      <w:bookmarkStart w:name="_bookmark32" w:id="49"/>
      <w:bookmarkEnd w:id="49"/>
      <w:r>
        <w:rPr/>
        <w:t>I</w:t>
      </w:r>
      <w:r>
        <w:rPr/>
        <w:t>mplications of findings from the first phase of</w:t>
      </w:r>
      <w:r>
        <w:rPr>
          <w:spacing w:val="-3"/>
        </w:rPr>
        <w:t> </w:t>
      </w:r>
      <w:r>
        <w:rPr/>
        <w:t>evaluation</w:t>
      </w:r>
    </w:p>
    <w:p>
      <w:pPr>
        <w:spacing w:line="264" w:lineRule="auto" w:before="21"/>
        <w:ind w:left="300" w:right="861" w:firstLine="0"/>
        <w:jc w:val="left"/>
        <w:rPr>
          <w:b/>
          <w:sz w:val="18"/>
        </w:rPr>
      </w:pPr>
      <w:r>
        <w:rPr>
          <w:b/>
          <w:color w:val="0096A9"/>
          <w:sz w:val="18"/>
        </w:rPr>
        <w:t>Systems thinking was identified as a useful approach for understanding the actions and interrelationships between the stakeholders of the </w:t>
      </w:r>
      <w:r>
        <w:rPr>
          <w:b/>
          <w:i/>
          <w:color w:val="0096A9"/>
          <w:sz w:val="18"/>
        </w:rPr>
        <w:t>Our Way </w:t>
      </w:r>
      <w:r>
        <w:rPr>
          <w:b/>
          <w:color w:val="0096A9"/>
          <w:sz w:val="18"/>
        </w:rPr>
        <w:t>system and what changes may be needed to strengthen the system and improve outcomes for Aboriginal and Torres Islander children and young people.</w:t>
      </w:r>
    </w:p>
    <w:p>
      <w:pPr>
        <w:pStyle w:val="BodyText"/>
        <w:spacing w:before="7"/>
        <w:rPr>
          <w:b/>
          <w:sz w:val="19"/>
        </w:rPr>
      </w:pPr>
    </w:p>
    <w:p>
      <w:pPr>
        <w:pStyle w:val="BodyText"/>
        <w:spacing w:line="264" w:lineRule="auto"/>
        <w:ind w:left="300" w:right="843"/>
        <w:rPr>
          <w:i/>
        </w:rPr>
      </w:pPr>
      <w:r>
        <w:rPr/>
        <w:t>There was a reflection workshop held in October 2021 attended by DCYJMA and the Deloitte and Murawin team, in which there was mutual agreement and consensus on many of the key lessons learned to date. These lessons, in addition to an increased understanding of the </w:t>
      </w:r>
      <w:r>
        <w:rPr>
          <w:i/>
        </w:rPr>
        <w:t>Our Way </w:t>
      </w:r>
      <w:r>
        <w:rPr/>
        <w:t>context, implementation challenges and the fundamental need of children, families and communities, provide insights that will support DCYJMA in determining the most appropriate next steps. In the near term, this relates to the design and implementation of the evaluation, and over the longer term, will ultimately influence and inform the design and implementation of the </w:t>
      </w:r>
      <w:r>
        <w:rPr>
          <w:i/>
        </w:rPr>
        <w:t>Breaking Cycles</w:t>
      </w:r>
    </w:p>
    <w:p>
      <w:pPr>
        <w:spacing w:after="0" w:line="264" w:lineRule="auto"/>
        <w:sectPr>
          <w:pgSz w:w="11910" w:h="16840"/>
          <w:pgMar w:header="650" w:footer="420" w:top="1340" w:bottom="620" w:left="1140" w:right="700"/>
        </w:sectPr>
      </w:pPr>
    </w:p>
    <w:p>
      <w:pPr>
        <w:pStyle w:val="BodyText"/>
        <w:spacing w:line="264" w:lineRule="auto" w:before="109"/>
        <w:ind w:left="300" w:right="1160"/>
      </w:pPr>
      <w:r>
        <w:rPr/>
        <w:t>action plans as well as any future evaluation activity. There was consensus that the evaluation questions should be reconsidered, in light of renewed clarity in terms of the objective of the evaluation. This is not uncommon in longer term evaluations, where evaluation scope and approach are iteratively refined to ensure the evaluation framework continues to be fit-for- purpose.</w:t>
      </w:r>
    </w:p>
    <w:p>
      <w:pPr>
        <w:pStyle w:val="Heading4"/>
        <w:spacing w:line="264" w:lineRule="auto" w:before="167"/>
        <w:ind w:right="984"/>
        <w:rPr>
          <w:b w:val="0"/>
        </w:rPr>
      </w:pPr>
      <w:r>
        <w:rPr>
          <w:color w:val="0096A9"/>
        </w:rPr>
        <w:t>Additional information is required to strengthen the foundation for ongoing and future evaluation of action plans within </w:t>
      </w:r>
      <w:r>
        <w:rPr>
          <w:i/>
          <w:color w:val="0096A9"/>
        </w:rPr>
        <w:t>Our Way</w:t>
      </w:r>
      <w:r>
        <w:rPr>
          <w:b w:val="0"/>
          <w:color w:val="0096A9"/>
        </w:rPr>
        <w:t>.</w:t>
      </w:r>
    </w:p>
    <w:p>
      <w:pPr>
        <w:pStyle w:val="BodyText"/>
        <w:spacing w:line="264" w:lineRule="auto"/>
        <w:ind w:left="300" w:right="761"/>
      </w:pPr>
      <w:r>
        <w:rPr/>
        <w:t>Lessons from the first phase of the evaluation identified a need to develop a Theory of Change and program logic model. This will help ensure stronger alignment and focus in areas that will have the greatest impact in the remaining years of </w:t>
      </w:r>
      <w:r>
        <w:rPr>
          <w:i/>
        </w:rPr>
        <w:t>Our Way</w:t>
      </w:r>
      <w:r>
        <w:rPr/>
        <w:t>. It will also support the development of stronger data collection mechanisms and a better articulation of Strategy outcomes (both recommendations from the </w:t>
      </w:r>
      <w:r>
        <w:rPr>
          <w:i/>
        </w:rPr>
        <w:t>Our Way </w:t>
      </w:r>
      <w:r>
        <w:rPr/>
        <w:t>baseline report).</w:t>
      </w:r>
    </w:p>
    <w:p>
      <w:pPr>
        <w:pStyle w:val="BodyText"/>
        <w:spacing w:before="11"/>
      </w:pPr>
    </w:p>
    <w:p>
      <w:pPr>
        <w:pStyle w:val="Heading2"/>
        <w:numPr>
          <w:ilvl w:val="1"/>
          <w:numId w:val="24"/>
        </w:numPr>
        <w:tabs>
          <w:tab w:pos="1094" w:val="left" w:leader="none"/>
          <w:tab w:pos="1095" w:val="left" w:leader="none"/>
        </w:tabs>
        <w:spacing w:line="240" w:lineRule="auto" w:before="0" w:after="0"/>
        <w:ind w:left="1094" w:right="0" w:hanging="795"/>
        <w:jc w:val="left"/>
      </w:pPr>
      <w:bookmarkStart w:name="_bookmark33" w:id="50"/>
      <w:bookmarkEnd w:id="50"/>
      <w:r>
        <w:rPr>
          <w:b w:val="0"/>
        </w:rPr>
      </w:r>
      <w:bookmarkStart w:name="_bookmark33" w:id="51"/>
      <w:bookmarkEnd w:id="51"/>
      <w:r>
        <w:rPr>
          <w:color w:val="61B5E4"/>
        </w:rPr>
        <w:t>A</w:t>
      </w:r>
      <w:r>
        <w:rPr>
          <w:color w:val="61B5E4"/>
        </w:rPr>
        <w:t>pproach and objective of the second phase of</w:t>
      </w:r>
      <w:r>
        <w:rPr>
          <w:color w:val="61B5E4"/>
          <w:spacing w:val="-14"/>
        </w:rPr>
        <w:t> </w:t>
      </w:r>
      <w:r>
        <w:rPr>
          <w:color w:val="61B5E4"/>
        </w:rPr>
        <w:t>evaluation</w:t>
      </w:r>
    </w:p>
    <w:p>
      <w:pPr>
        <w:pStyle w:val="Heading4"/>
        <w:numPr>
          <w:ilvl w:val="2"/>
          <w:numId w:val="24"/>
        </w:numPr>
        <w:tabs>
          <w:tab w:pos="1320" w:val="left" w:leader="none"/>
          <w:tab w:pos="1321" w:val="left" w:leader="none"/>
        </w:tabs>
        <w:spacing w:line="240" w:lineRule="auto" w:before="20" w:after="0"/>
        <w:ind w:left="1320" w:right="0" w:hanging="1021"/>
        <w:jc w:val="left"/>
      </w:pPr>
      <w:bookmarkStart w:name="_bookmark34" w:id="52"/>
      <w:bookmarkEnd w:id="52"/>
      <w:r>
        <w:rPr>
          <w:b w:val="0"/>
        </w:rPr>
      </w:r>
      <w:bookmarkStart w:name="_bookmark34" w:id="53"/>
      <w:bookmarkEnd w:id="53"/>
      <w:r>
        <w:rPr/>
        <w:t>O</w:t>
      </w:r>
      <w:r>
        <w:rPr/>
        <w:t>bjective of the second phase of</w:t>
      </w:r>
      <w:r>
        <w:rPr>
          <w:spacing w:val="1"/>
        </w:rPr>
        <w:t> </w:t>
      </w:r>
      <w:r>
        <w:rPr/>
        <w:t>evaluation</w:t>
      </w:r>
    </w:p>
    <w:p>
      <w:pPr>
        <w:pStyle w:val="BodyText"/>
        <w:spacing w:line="264" w:lineRule="auto" w:before="21"/>
        <w:ind w:left="300" w:right="827"/>
      </w:pPr>
      <w:r>
        <w:rPr/>
        <w:t>Given findings identified in the first phase of this evaluation, it was agreed that the second phase of the evaluation would adopt systems change and systems thinking perspectives. System change requires building on what works, as well as rethinking and reshaping what does not. The complexity of needs and experiences of Aboriginal and Torres Strait Islander families requires innovation and a system with many levers operating in unison. This includes having sufficient change and multiple communications mechanisms in place, as well as the necessary governance, adequate funding regimes, performance monitoring and reporting mechanisms (see Sectio</w:t>
      </w:r>
      <w:hyperlink w:history="true" w:anchor="_bookmark36">
        <w:r>
          <w:rPr/>
          <w:t>n 3.4.1</w:t>
        </w:r>
      </w:hyperlink>
      <w:r>
        <w:rPr/>
        <w:t> for a more detailed definition of systems and systems thinking).</w:t>
      </w:r>
    </w:p>
    <w:p>
      <w:pPr>
        <w:pStyle w:val="BodyText"/>
        <w:spacing w:before="163"/>
        <w:ind w:left="300"/>
      </w:pPr>
      <w:r>
        <w:rPr/>
        <w:t>The objectives of the systems level evaluation (phase two) are to:</w:t>
      </w:r>
    </w:p>
    <w:p>
      <w:pPr>
        <w:pStyle w:val="ListParagraph"/>
        <w:numPr>
          <w:ilvl w:val="0"/>
          <w:numId w:val="21"/>
        </w:numPr>
        <w:tabs>
          <w:tab w:pos="661" w:val="left" w:leader="none"/>
        </w:tabs>
        <w:spacing w:line="261" w:lineRule="auto" w:before="192" w:after="0"/>
        <w:ind w:left="660" w:right="826" w:hanging="360"/>
        <w:jc w:val="both"/>
        <w:rPr>
          <w:sz w:val="18"/>
        </w:rPr>
      </w:pPr>
      <w:r>
        <w:rPr>
          <w:sz w:val="18"/>
        </w:rPr>
        <w:t>Develop a clearer link between the objectives of </w:t>
      </w:r>
      <w:r>
        <w:rPr>
          <w:i/>
          <w:sz w:val="18"/>
        </w:rPr>
        <w:t>Our Way</w:t>
      </w:r>
      <w:r>
        <w:rPr>
          <w:sz w:val="18"/>
        </w:rPr>
        <w:t>, the changes sought and the actions required to achieve these outcomes. As part of this process, a Theory of Change and program logic model were developed in collaboration with government and Aboriginal and Torres Strait Islander</w:t>
      </w:r>
      <w:r>
        <w:rPr>
          <w:spacing w:val="-2"/>
          <w:sz w:val="18"/>
        </w:rPr>
        <w:t> </w:t>
      </w:r>
      <w:r>
        <w:rPr>
          <w:sz w:val="18"/>
        </w:rPr>
        <w:t>representatives.</w:t>
      </w:r>
    </w:p>
    <w:p>
      <w:pPr>
        <w:pStyle w:val="ListParagraph"/>
        <w:numPr>
          <w:ilvl w:val="0"/>
          <w:numId w:val="21"/>
        </w:numPr>
        <w:tabs>
          <w:tab w:pos="661" w:val="left" w:leader="none"/>
        </w:tabs>
        <w:spacing w:line="261" w:lineRule="auto" w:before="4" w:after="0"/>
        <w:ind w:left="660" w:right="804" w:hanging="360"/>
        <w:jc w:val="both"/>
        <w:rPr>
          <w:sz w:val="18"/>
        </w:rPr>
      </w:pPr>
      <w:r>
        <w:rPr>
          <w:sz w:val="18"/>
        </w:rPr>
        <w:t>Identify potential solutions to engender greater cross-system stakeholder buy in to </w:t>
      </w:r>
      <w:r>
        <w:rPr>
          <w:i/>
          <w:sz w:val="18"/>
        </w:rPr>
        <w:t>Our Way</w:t>
      </w:r>
      <w:r>
        <w:rPr>
          <w:sz w:val="18"/>
        </w:rPr>
        <w:t>. This is critical to support the system transformation required to achieve the vision of </w:t>
      </w:r>
      <w:r>
        <w:rPr>
          <w:i/>
          <w:sz w:val="18"/>
        </w:rPr>
        <w:t>Our</w:t>
      </w:r>
      <w:r>
        <w:rPr>
          <w:i/>
          <w:spacing w:val="-36"/>
          <w:sz w:val="18"/>
        </w:rPr>
        <w:t> </w:t>
      </w:r>
      <w:r>
        <w:rPr>
          <w:i/>
          <w:sz w:val="18"/>
        </w:rPr>
        <w:t>Way</w:t>
      </w:r>
      <w:r>
        <w:rPr>
          <w:sz w:val="18"/>
        </w:rPr>
        <w:t>.</w:t>
      </w:r>
    </w:p>
    <w:p>
      <w:pPr>
        <w:pStyle w:val="ListParagraph"/>
        <w:numPr>
          <w:ilvl w:val="0"/>
          <w:numId w:val="21"/>
        </w:numPr>
        <w:tabs>
          <w:tab w:pos="661" w:val="left" w:leader="none"/>
        </w:tabs>
        <w:spacing w:line="261" w:lineRule="auto" w:before="1" w:after="0"/>
        <w:ind w:left="660" w:right="745" w:hanging="360"/>
        <w:jc w:val="both"/>
        <w:rPr>
          <w:sz w:val="18"/>
        </w:rPr>
      </w:pPr>
      <w:r>
        <w:rPr>
          <w:sz w:val="18"/>
        </w:rPr>
        <w:t>Unpack stakeholders’ views on how to collectively build on what is working well and how things could be done differently to enable the effective implementation of the</w:t>
      </w:r>
      <w:r>
        <w:rPr>
          <w:spacing w:val="-22"/>
          <w:sz w:val="18"/>
        </w:rPr>
        <w:t> </w:t>
      </w:r>
      <w:r>
        <w:rPr>
          <w:sz w:val="18"/>
        </w:rPr>
        <w:t>strategy.</w:t>
      </w:r>
    </w:p>
    <w:p>
      <w:pPr>
        <w:pStyle w:val="BodyText"/>
        <w:spacing w:before="4"/>
        <w:rPr>
          <w:sz w:val="19"/>
        </w:rPr>
      </w:pPr>
    </w:p>
    <w:p>
      <w:pPr>
        <w:pStyle w:val="Heading2"/>
        <w:numPr>
          <w:ilvl w:val="1"/>
          <w:numId w:val="24"/>
        </w:numPr>
        <w:tabs>
          <w:tab w:pos="1094" w:val="left" w:leader="none"/>
          <w:tab w:pos="1095" w:val="left" w:leader="none"/>
        </w:tabs>
        <w:spacing w:line="240" w:lineRule="auto" w:before="0" w:after="0"/>
        <w:ind w:left="1094" w:right="0" w:hanging="795"/>
        <w:jc w:val="left"/>
      </w:pPr>
      <w:bookmarkStart w:name="_bookmark35" w:id="54"/>
      <w:bookmarkEnd w:id="54"/>
      <w:r>
        <w:rPr>
          <w:b w:val="0"/>
        </w:rPr>
      </w:r>
      <w:bookmarkStart w:name="_bookmark35" w:id="55"/>
      <w:bookmarkEnd w:id="55"/>
      <w:r>
        <w:rPr>
          <w:color w:val="61B5E4"/>
        </w:rPr>
        <w:t>M</w:t>
      </w:r>
      <w:r>
        <w:rPr>
          <w:color w:val="61B5E4"/>
        </w:rPr>
        <w:t>ethodology of the second phase of the</w:t>
      </w:r>
      <w:r>
        <w:rPr>
          <w:color w:val="61B5E4"/>
          <w:spacing w:val="-14"/>
        </w:rPr>
        <w:t> </w:t>
      </w:r>
      <w:r>
        <w:rPr>
          <w:color w:val="61B5E4"/>
        </w:rPr>
        <w:t>evaluation</w:t>
      </w:r>
    </w:p>
    <w:p>
      <w:pPr>
        <w:pStyle w:val="Heading4"/>
        <w:numPr>
          <w:ilvl w:val="2"/>
          <w:numId w:val="24"/>
        </w:numPr>
        <w:tabs>
          <w:tab w:pos="1320" w:val="left" w:leader="none"/>
          <w:tab w:pos="1321" w:val="left" w:leader="none"/>
        </w:tabs>
        <w:spacing w:line="240" w:lineRule="auto" w:before="20" w:after="0"/>
        <w:ind w:left="1320" w:right="0" w:hanging="1021"/>
        <w:jc w:val="left"/>
      </w:pPr>
      <w:bookmarkStart w:name="_bookmark36" w:id="56"/>
      <w:bookmarkEnd w:id="56"/>
      <w:r>
        <w:rPr>
          <w:b w:val="0"/>
        </w:rPr>
      </w:r>
      <w:bookmarkStart w:name="_bookmark36" w:id="57"/>
      <w:bookmarkEnd w:id="57"/>
      <w:r>
        <w:rPr/>
        <w:t>De</w:t>
      </w:r>
      <w:r>
        <w:rPr/>
        <w:t>finition of systems and systems</w:t>
      </w:r>
      <w:r>
        <w:rPr>
          <w:spacing w:val="-6"/>
        </w:rPr>
        <w:t> </w:t>
      </w:r>
      <w:r>
        <w:rPr/>
        <w:t>thinking</w:t>
      </w:r>
    </w:p>
    <w:p>
      <w:pPr>
        <w:pStyle w:val="BodyText"/>
        <w:spacing w:line="264" w:lineRule="auto" w:before="21"/>
        <w:ind w:left="300" w:right="763"/>
      </w:pPr>
      <w:r>
        <w:rPr/>
        <w:t>A system is defined as a regularly interacting or interdependent group of items forming a unified whole. A basic principle of a system is that is something more than the collection of its parts.</w:t>
      </w:r>
      <w:r>
        <w:rPr>
          <w:position w:val="6"/>
          <w:sz w:val="12"/>
        </w:rPr>
        <w:t>11 </w:t>
      </w:r>
      <w:r>
        <w:rPr/>
        <w:t>In an optimal system, stakeholders act according to their individual strategies or routines, but they also act and react to what others in the system are doing.</w:t>
      </w:r>
    </w:p>
    <w:p>
      <w:pPr>
        <w:pStyle w:val="BodyText"/>
        <w:spacing w:line="264" w:lineRule="auto" w:before="169"/>
        <w:ind w:left="300" w:right="909"/>
      </w:pPr>
      <w:r>
        <w:rPr/>
        <w:t>The </w:t>
      </w:r>
      <w:r>
        <w:rPr>
          <w:i/>
        </w:rPr>
        <w:t>Our Way </w:t>
      </w:r>
      <w:r>
        <w:rPr/>
        <w:t>system is an example of a human service delivery system. These systems have multiple programs, policies, agencies or institutions at a national, state and local level with the common goal of achieving better outcomes for clients.</w:t>
      </w:r>
      <w:r>
        <w:rPr>
          <w:position w:val="6"/>
          <w:sz w:val="12"/>
        </w:rPr>
        <w:t>12 </w:t>
      </w:r>
      <w:r>
        <w:rPr/>
        <w:t>The characteristics of a human service delivery system include:</w:t>
      </w:r>
    </w:p>
    <w:p>
      <w:pPr>
        <w:pStyle w:val="ListParagraph"/>
        <w:numPr>
          <w:ilvl w:val="0"/>
          <w:numId w:val="21"/>
        </w:numPr>
        <w:tabs>
          <w:tab w:pos="660" w:val="left" w:leader="none"/>
          <w:tab w:pos="661" w:val="left" w:leader="none"/>
        </w:tabs>
        <w:spacing w:line="261" w:lineRule="auto" w:before="168" w:after="0"/>
        <w:ind w:left="660" w:right="1002" w:hanging="360"/>
        <w:jc w:val="left"/>
        <w:rPr>
          <w:sz w:val="18"/>
        </w:rPr>
      </w:pPr>
      <w:r>
        <w:rPr>
          <w:sz w:val="18"/>
        </w:rPr>
        <w:t>Numerous subsystems – also known as “a system within a system”. This means that each subsystem has its own interacting programs, policies and strategies to achieve outcomes for clients. For </w:t>
      </w:r>
      <w:r>
        <w:rPr>
          <w:i/>
          <w:sz w:val="18"/>
        </w:rPr>
        <w:t>Our Way</w:t>
      </w:r>
      <w:r>
        <w:rPr>
          <w:sz w:val="18"/>
        </w:rPr>
        <w:t>, this reflects the different government and non-government agencies which form part of the system, most of which have their own sets of legislation, policy and strategic</w:t>
      </w:r>
      <w:r>
        <w:rPr>
          <w:spacing w:val="-2"/>
          <w:sz w:val="18"/>
        </w:rPr>
        <w:t> </w:t>
      </w:r>
      <w:r>
        <w:rPr>
          <w:sz w:val="18"/>
        </w:rPr>
        <w:t>priorities.</w:t>
      </w:r>
    </w:p>
    <w:p>
      <w:pPr>
        <w:pStyle w:val="ListParagraph"/>
        <w:numPr>
          <w:ilvl w:val="0"/>
          <w:numId w:val="21"/>
        </w:numPr>
        <w:tabs>
          <w:tab w:pos="660" w:val="left" w:leader="none"/>
          <w:tab w:pos="661" w:val="left" w:leader="none"/>
        </w:tabs>
        <w:spacing w:line="261" w:lineRule="auto" w:before="6" w:after="0"/>
        <w:ind w:left="660" w:right="812" w:hanging="360"/>
        <w:jc w:val="left"/>
        <w:rPr>
          <w:sz w:val="18"/>
        </w:rPr>
      </w:pPr>
      <w:r>
        <w:rPr>
          <w:sz w:val="18"/>
        </w:rPr>
        <w:t>Interconnections are essential for optimal results. A system typically has a goal or function that is best achieved when its components function together as a whole. For example, all frontline services – ranging from health and education to the child protection system - need</w:t>
      </w:r>
      <w:r>
        <w:rPr>
          <w:spacing w:val="-33"/>
          <w:sz w:val="18"/>
        </w:rPr>
        <w:t> </w:t>
      </w:r>
      <w:r>
        <w:rPr>
          <w:sz w:val="18"/>
        </w:rPr>
        <w:t>to</w:t>
      </w:r>
    </w:p>
    <w:p>
      <w:pPr>
        <w:pStyle w:val="BodyText"/>
        <w:spacing w:before="11"/>
        <w:rPr>
          <w:sz w:val="9"/>
        </w:rPr>
      </w:pPr>
      <w:r>
        <w:rPr/>
        <w:pict>
          <v:shape style="position:absolute;margin-left:72.024002pt;margin-top:8.238672pt;width:144.050pt;height:.1pt;mso-position-horizontal-relative:page;mso-position-vertical-relative:paragraph;z-index:-251546624;mso-wrap-distance-left:0;mso-wrap-distance-right:0" coordorigin="1440,165" coordsize="2881,0" path="m1440,165l4321,165e" filled="false" stroked="true" strokeweight=".47998pt" strokecolor="#000000">
            <v:path arrowok="t"/>
            <v:stroke dashstyle="solid"/>
            <w10:wrap type="topAndBottom"/>
          </v:shape>
        </w:pict>
      </w:r>
    </w:p>
    <w:p>
      <w:pPr>
        <w:pStyle w:val="BodyText"/>
        <w:spacing w:before="7"/>
        <w:rPr>
          <w:sz w:val="10"/>
        </w:rPr>
      </w:pPr>
    </w:p>
    <w:p>
      <w:pPr>
        <w:spacing w:before="102"/>
        <w:ind w:left="300" w:right="0" w:firstLine="0"/>
        <w:jc w:val="left"/>
        <w:rPr>
          <w:sz w:val="14"/>
        </w:rPr>
      </w:pPr>
      <w:r>
        <w:rPr>
          <w:position w:val="5"/>
          <w:sz w:val="9"/>
        </w:rPr>
        <w:t>11 </w:t>
      </w:r>
      <w:r>
        <w:rPr>
          <w:sz w:val="14"/>
        </w:rPr>
        <w:t>Arnold (2015) A definition of systems thinking: a systems approach</w:t>
      </w:r>
    </w:p>
    <w:p>
      <w:pPr>
        <w:spacing w:before="0"/>
        <w:ind w:left="300" w:right="0" w:firstLine="0"/>
        <w:jc w:val="left"/>
        <w:rPr>
          <w:sz w:val="14"/>
        </w:rPr>
      </w:pPr>
      <w:r>
        <w:rPr>
          <w:position w:val="5"/>
          <w:sz w:val="9"/>
        </w:rPr>
        <w:t>12 </w:t>
      </w:r>
      <w:r>
        <w:rPr>
          <w:sz w:val="14"/>
        </w:rPr>
        <w:t>Coffman J (2007) A Framework for Evaluating System Initiatives</w:t>
      </w:r>
    </w:p>
    <w:p>
      <w:pPr>
        <w:spacing w:after="0"/>
        <w:jc w:val="left"/>
        <w:rPr>
          <w:sz w:val="14"/>
        </w:rPr>
        <w:sectPr>
          <w:pgSz w:w="11910" w:h="16840"/>
          <w:pgMar w:header="650" w:footer="420" w:top="1340" w:bottom="620" w:left="1140" w:right="700"/>
        </w:sectPr>
      </w:pPr>
    </w:p>
    <w:p>
      <w:pPr>
        <w:pStyle w:val="BodyText"/>
        <w:spacing w:line="264" w:lineRule="auto" w:before="109"/>
        <w:ind w:left="660" w:right="991"/>
      </w:pPr>
      <w:r>
        <w:rPr/>
        <w:t>operate effectively to achieve the </w:t>
      </w:r>
      <w:r>
        <w:rPr>
          <w:i/>
        </w:rPr>
        <w:t>Our Way </w:t>
      </w:r>
      <w:r>
        <w:rPr/>
        <w:t>vision of closing the gap in life outcomes for Aboriginal and Torres Strait Islander children and families. Being strategic about the ways in which these services connect is important as it enables their collective strengths to be leveraged. Conversely, if each of these services operate independently and in a non-aligned manner, the impact on Aboriginal and Torres Strait Islander children and families would be reduced.</w:t>
      </w:r>
    </w:p>
    <w:p>
      <w:pPr>
        <w:pStyle w:val="ListParagraph"/>
        <w:numPr>
          <w:ilvl w:val="0"/>
          <w:numId w:val="21"/>
        </w:numPr>
        <w:tabs>
          <w:tab w:pos="660" w:val="left" w:leader="none"/>
          <w:tab w:pos="661" w:val="left" w:leader="none"/>
        </w:tabs>
        <w:spacing w:line="261" w:lineRule="auto" w:before="0" w:after="0"/>
        <w:ind w:left="660" w:right="964" w:hanging="360"/>
        <w:jc w:val="left"/>
        <w:rPr>
          <w:sz w:val="18"/>
        </w:rPr>
      </w:pPr>
      <w:r>
        <w:rPr>
          <w:sz w:val="18"/>
        </w:rPr>
        <w:t>It is a “loosely coupled” system. This means that actions in one part of the system may have limited consequences for other system parts. A loosely coupled system’s parts can be autonomous or self-directed, and the incentives for them to integrate can be</w:t>
      </w:r>
      <w:r>
        <w:rPr>
          <w:spacing w:val="-24"/>
          <w:sz w:val="18"/>
        </w:rPr>
        <w:t> </w:t>
      </w:r>
      <w:r>
        <w:rPr>
          <w:sz w:val="18"/>
        </w:rPr>
        <w:t>weak.</w:t>
      </w:r>
    </w:p>
    <w:p>
      <w:pPr>
        <w:pStyle w:val="BodyText"/>
        <w:spacing w:line="264" w:lineRule="auto" w:before="169"/>
        <w:ind w:left="300" w:right="737"/>
      </w:pPr>
      <w:r>
        <w:rPr/>
        <w:t>Systems thinking is an iterative process which takes a broad, integrated perspective examining the activities, linkages and interactions among system stakeholders. In an optimal system, stakeholders act according to their individual strategies or routines, but they also act and react to what others in the system are doing. Systems thinking is therefore a useful approach for understanding the actions and interrelationships between the stakeholders of the </w:t>
      </w:r>
      <w:r>
        <w:rPr>
          <w:i/>
        </w:rPr>
        <w:t>Our Way </w:t>
      </w:r>
      <w:r>
        <w:rPr/>
        <w:t>system and what changes may be needed strengthen the system and improve outcomes for children.</w:t>
      </w:r>
    </w:p>
    <w:p>
      <w:pPr>
        <w:pStyle w:val="BodyText"/>
        <w:spacing w:before="167"/>
        <w:ind w:left="300"/>
      </w:pPr>
      <w:r>
        <w:rPr/>
        <w:t>There are two guiding principles which underpin this systems level evaluation:</w:t>
      </w:r>
    </w:p>
    <w:p>
      <w:pPr>
        <w:pStyle w:val="ListParagraph"/>
        <w:numPr>
          <w:ilvl w:val="0"/>
          <w:numId w:val="27"/>
        </w:numPr>
        <w:tabs>
          <w:tab w:pos="661" w:val="left" w:leader="none"/>
        </w:tabs>
        <w:spacing w:line="240" w:lineRule="auto" w:before="192" w:after="0"/>
        <w:ind w:left="660" w:right="0" w:hanging="361"/>
        <w:jc w:val="left"/>
        <w:rPr>
          <w:sz w:val="18"/>
        </w:rPr>
      </w:pPr>
      <w:r>
        <w:rPr>
          <w:sz w:val="18"/>
        </w:rPr>
        <w:t>it will build on the findings from first phase of the</w:t>
      </w:r>
      <w:r>
        <w:rPr>
          <w:spacing w:val="-12"/>
          <w:sz w:val="18"/>
        </w:rPr>
        <w:t> </w:t>
      </w:r>
      <w:r>
        <w:rPr>
          <w:sz w:val="18"/>
        </w:rPr>
        <w:t>evaluation</w:t>
      </w:r>
    </w:p>
    <w:p>
      <w:pPr>
        <w:pStyle w:val="ListParagraph"/>
        <w:numPr>
          <w:ilvl w:val="0"/>
          <w:numId w:val="27"/>
        </w:numPr>
        <w:tabs>
          <w:tab w:pos="661" w:val="left" w:leader="none"/>
        </w:tabs>
        <w:spacing w:line="264" w:lineRule="auto" w:before="21" w:after="0"/>
        <w:ind w:left="660" w:right="795" w:hanging="360"/>
        <w:jc w:val="left"/>
        <w:rPr>
          <w:sz w:val="18"/>
        </w:rPr>
      </w:pPr>
      <w:r>
        <w:rPr>
          <w:sz w:val="18"/>
        </w:rPr>
        <w:t>it will be informed by the experiences of system stakeholders. A mixed-methods approach was designed to gather insights from a range of system</w:t>
      </w:r>
      <w:r>
        <w:rPr>
          <w:spacing w:val="-11"/>
          <w:sz w:val="18"/>
        </w:rPr>
        <w:t> </w:t>
      </w:r>
      <w:r>
        <w:rPr>
          <w:sz w:val="18"/>
        </w:rPr>
        <w:t>stakeholders.</w:t>
      </w:r>
    </w:p>
    <w:p>
      <w:pPr>
        <w:pStyle w:val="BodyText"/>
        <w:spacing w:line="264" w:lineRule="auto" w:before="167"/>
        <w:ind w:left="300" w:right="1467"/>
      </w:pPr>
      <w:r>
        <w:rPr/>
        <w:t>To support the systems level evaluation, the key lines of inquiry in the second phase of the evaluation include:</w:t>
      </w:r>
    </w:p>
    <w:p>
      <w:pPr>
        <w:pStyle w:val="ListParagraph"/>
        <w:numPr>
          <w:ilvl w:val="0"/>
          <w:numId w:val="28"/>
        </w:numPr>
        <w:tabs>
          <w:tab w:pos="661" w:val="left" w:leader="none"/>
        </w:tabs>
        <w:spacing w:line="264" w:lineRule="auto" w:before="169" w:after="0"/>
        <w:ind w:left="660" w:right="1132" w:hanging="360"/>
        <w:jc w:val="left"/>
        <w:rPr>
          <w:sz w:val="18"/>
        </w:rPr>
      </w:pPr>
      <w:r>
        <w:rPr>
          <w:sz w:val="18"/>
        </w:rPr>
        <w:t>To what extent do system stakeholders share the vision and aligns to the objectives of </w:t>
      </w:r>
      <w:r>
        <w:rPr>
          <w:i/>
          <w:sz w:val="18"/>
        </w:rPr>
        <w:t>Our </w:t>
      </w:r>
      <w:r>
        <w:rPr>
          <w:i/>
          <w:sz w:val="18"/>
        </w:rPr>
        <w:t>Way</w:t>
      </w:r>
      <w:r>
        <w:rPr>
          <w:sz w:val="18"/>
        </w:rPr>
        <w:t>?</w:t>
      </w:r>
    </w:p>
    <w:p>
      <w:pPr>
        <w:pStyle w:val="ListParagraph"/>
        <w:numPr>
          <w:ilvl w:val="0"/>
          <w:numId w:val="28"/>
        </w:numPr>
        <w:tabs>
          <w:tab w:pos="661" w:val="left" w:leader="none"/>
        </w:tabs>
        <w:spacing w:line="217" w:lineRule="exact" w:before="0" w:after="0"/>
        <w:ind w:left="660" w:right="0" w:hanging="361"/>
        <w:jc w:val="left"/>
        <w:rPr>
          <w:i/>
          <w:sz w:val="18"/>
        </w:rPr>
      </w:pPr>
      <w:r>
        <w:rPr>
          <w:sz w:val="18"/>
        </w:rPr>
        <w:t>What are the activities different system stakeholders deliver to achieve the </w:t>
      </w:r>
      <w:r>
        <w:rPr>
          <w:i/>
          <w:sz w:val="18"/>
        </w:rPr>
        <w:t>Our</w:t>
      </w:r>
      <w:r>
        <w:rPr>
          <w:i/>
          <w:spacing w:val="-17"/>
          <w:sz w:val="18"/>
        </w:rPr>
        <w:t> </w:t>
      </w:r>
      <w:r>
        <w:rPr>
          <w:i/>
          <w:sz w:val="18"/>
        </w:rPr>
        <w:t>Way</w:t>
      </w:r>
    </w:p>
    <w:p>
      <w:pPr>
        <w:pStyle w:val="BodyText"/>
        <w:spacing w:before="22"/>
        <w:ind w:left="660"/>
      </w:pPr>
      <w:r>
        <w:rPr/>
        <w:t>objectives?</w:t>
      </w:r>
    </w:p>
    <w:p>
      <w:pPr>
        <w:pStyle w:val="ListParagraph"/>
        <w:numPr>
          <w:ilvl w:val="0"/>
          <w:numId w:val="28"/>
        </w:numPr>
        <w:tabs>
          <w:tab w:pos="661" w:val="left" w:leader="none"/>
        </w:tabs>
        <w:spacing w:line="264" w:lineRule="auto" w:before="21" w:after="0"/>
        <w:ind w:left="660" w:right="1526" w:hanging="360"/>
        <w:jc w:val="left"/>
        <w:rPr>
          <w:sz w:val="18"/>
        </w:rPr>
      </w:pPr>
      <w:r>
        <w:rPr>
          <w:sz w:val="18"/>
        </w:rPr>
        <w:t>Have there been any changes to the operating model of system stakeholders since the commencement of </w:t>
      </w:r>
      <w:r>
        <w:rPr>
          <w:i/>
          <w:sz w:val="18"/>
        </w:rPr>
        <w:t>Our</w:t>
      </w:r>
      <w:r>
        <w:rPr>
          <w:i/>
          <w:spacing w:val="-3"/>
          <w:sz w:val="18"/>
        </w:rPr>
        <w:t> </w:t>
      </w:r>
      <w:r>
        <w:rPr>
          <w:i/>
          <w:sz w:val="18"/>
        </w:rPr>
        <w:t>Way</w:t>
      </w:r>
      <w:r>
        <w:rPr>
          <w:sz w:val="18"/>
        </w:rPr>
        <w:t>?</w:t>
      </w:r>
    </w:p>
    <w:p>
      <w:pPr>
        <w:pStyle w:val="ListParagraph"/>
        <w:numPr>
          <w:ilvl w:val="0"/>
          <w:numId w:val="28"/>
        </w:numPr>
        <w:tabs>
          <w:tab w:pos="661" w:val="left" w:leader="none"/>
        </w:tabs>
        <w:spacing w:line="217" w:lineRule="exact" w:before="0" w:after="0"/>
        <w:ind w:left="660" w:right="0" w:hanging="361"/>
        <w:jc w:val="left"/>
        <w:rPr>
          <w:sz w:val="18"/>
        </w:rPr>
      </w:pPr>
      <w:r>
        <w:rPr>
          <w:sz w:val="18"/>
        </w:rPr>
        <w:t>To what extent do system stakeholders see themselves as part of the </w:t>
      </w:r>
      <w:r>
        <w:rPr>
          <w:i/>
          <w:sz w:val="18"/>
        </w:rPr>
        <w:t>Our Way</w:t>
      </w:r>
      <w:r>
        <w:rPr>
          <w:i/>
          <w:spacing w:val="-18"/>
          <w:sz w:val="18"/>
        </w:rPr>
        <w:t> </w:t>
      </w:r>
      <w:r>
        <w:rPr>
          <w:sz w:val="18"/>
        </w:rPr>
        <w:t>system?</w:t>
      </w:r>
    </w:p>
    <w:p>
      <w:pPr>
        <w:pStyle w:val="ListParagraph"/>
        <w:numPr>
          <w:ilvl w:val="0"/>
          <w:numId w:val="28"/>
        </w:numPr>
        <w:tabs>
          <w:tab w:pos="661" w:val="left" w:leader="none"/>
        </w:tabs>
        <w:spacing w:line="264" w:lineRule="auto" w:before="21" w:after="0"/>
        <w:ind w:left="660" w:right="904" w:hanging="360"/>
        <w:jc w:val="left"/>
        <w:rPr>
          <w:sz w:val="18"/>
        </w:rPr>
      </w:pPr>
      <w:r>
        <w:rPr>
          <w:sz w:val="18"/>
        </w:rPr>
        <w:t>What barriers or enablers exist to help or hinder positive changes in the system as advocated by </w:t>
      </w:r>
      <w:r>
        <w:rPr>
          <w:i/>
          <w:sz w:val="18"/>
        </w:rPr>
        <w:t>Our</w:t>
      </w:r>
      <w:r>
        <w:rPr>
          <w:i/>
          <w:spacing w:val="-4"/>
          <w:sz w:val="18"/>
        </w:rPr>
        <w:t> </w:t>
      </w:r>
      <w:r>
        <w:rPr>
          <w:i/>
          <w:sz w:val="18"/>
        </w:rPr>
        <w:t>Way</w:t>
      </w:r>
      <w:r>
        <w:rPr>
          <w:sz w:val="18"/>
        </w:rPr>
        <w:t>?</w:t>
      </w:r>
    </w:p>
    <w:p>
      <w:pPr>
        <w:pStyle w:val="ListParagraph"/>
        <w:numPr>
          <w:ilvl w:val="0"/>
          <w:numId w:val="28"/>
        </w:numPr>
        <w:tabs>
          <w:tab w:pos="661" w:val="left" w:leader="none"/>
        </w:tabs>
        <w:spacing w:line="217" w:lineRule="exact" w:before="0" w:after="0"/>
        <w:ind w:left="660" w:right="0" w:hanging="361"/>
        <w:jc w:val="left"/>
        <w:rPr>
          <w:sz w:val="18"/>
        </w:rPr>
      </w:pPr>
      <w:r>
        <w:rPr>
          <w:sz w:val="18"/>
        </w:rPr>
        <w:t>What are stakeholders’ perspectives on the role of ACCOs and community in the</w:t>
      </w:r>
      <w:r>
        <w:rPr>
          <w:spacing w:val="-23"/>
          <w:sz w:val="18"/>
        </w:rPr>
        <w:t> </w:t>
      </w:r>
      <w:r>
        <w:rPr>
          <w:sz w:val="18"/>
        </w:rPr>
        <w:t>future</w:t>
      </w:r>
    </w:p>
    <w:p>
      <w:pPr>
        <w:pStyle w:val="BodyText"/>
        <w:spacing w:before="21"/>
        <w:ind w:left="660"/>
      </w:pPr>
      <w:r>
        <w:rPr/>
        <w:t>system?</w:t>
      </w:r>
    </w:p>
    <w:p>
      <w:pPr>
        <w:pStyle w:val="ListParagraph"/>
        <w:numPr>
          <w:ilvl w:val="0"/>
          <w:numId w:val="28"/>
        </w:numPr>
        <w:tabs>
          <w:tab w:pos="661" w:val="left" w:leader="none"/>
        </w:tabs>
        <w:spacing w:line="264" w:lineRule="auto" w:before="22" w:after="0"/>
        <w:ind w:left="660" w:right="1334" w:hanging="360"/>
        <w:jc w:val="left"/>
        <w:rPr>
          <w:sz w:val="18"/>
        </w:rPr>
      </w:pPr>
      <w:r>
        <w:rPr>
          <w:sz w:val="18"/>
        </w:rPr>
        <w:t>What are the key learnings to support the future implementation of the remaining Action Plans?</w:t>
      </w:r>
    </w:p>
    <w:p>
      <w:pPr>
        <w:pStyle w:val="BodyText"/>
        <w:spacing w:line="264" w:lineRule="auto" w:before="169"/>
        <w:ind w:left="300" w:right="835"/>
      </w:pPr>
      <w:r>
        <w:rPr/>
        <w:t>The second phase of the evaluation consists of three main activities – workshops, semi-structured interviews with selected government stakeholders and Aboriginal and Torres Islander community representatives as well as a network analysis survey.</w:t>
      </w:r>
    </w:p>
    <w:p>
      <w:pPr>
        <w:pStyle w:val="Heading4"/>
        <w:numPr>
          <w:ilvl w:val="2"/>
          <w:numId w:val="24"/>
        </w:numPr>
        <w:tabs>
          <w:tab w:pos="1320" w:val="left" w:leader="none"/>
          <w:tab w:pos="1321" w:val="left" w:leader="none"/>
        </w:tabs>
        <w:spacing w:line="240" w:lineRule="auto" w:before="169" w:after="0"/>
        <w:ind w:left="1320" w:right="0" w:hanging="1021"/>
        <w:jc w:val="left"/>
      </w:pPr>
      <w:bookmarkStart w:name="_bookmark37" w:id="58"/>
      <w:bookmarkEnd w:id="58"/>
      <w:r>
        <w:rPr>
          <w:b w:val="0"/>
        </w:rPr>
      </w:r>
      <w:bookmarkStart w:name="_bookmark37" w:id="59"/>
      <w:bookmarkEnd w:id="59"/>
      <w:r>
        <w:rPr/>
        <w:t>Wo</w:t>
      </w:r>
      <w:r>
        <w:rPr/>
        <w:t>rkshops</w:t>
      </w:r>
    </w:p>
    <w:p>
      <w:pPr>
        <w:pStyle w:val="BodyText"/>
        <w:spacing w:line="264" w:lineRule="auto" w:before="21"/>
        <w:ind w:left="300" w:right="833"/>
      </w:pPr>
      <w:r>
        <w:rPr/>
        <w:t>Two workshops were organised with stakeholders to collaboratively develop an understanding of the </w:t>
      </w:r>
      <w:r>
        <w:rPr>
          <w:i/>
        </w:rPr>
        <w:t>Our Way </w:t>
      </w:r>
      <w:r>
        <w:rPr/>
        <w:t>system including the boundary of the system, the stakeholders involved, and the values, attitudes, processes, and structures that act as facilitators or barriers to the system working together to attain the objectives of </w:t>
      </w:r>
      <w:r>
        <w:rPr>
          <w:i/>
        </w:rPr>
        <w:t>Our Way</w:t>
      </w:r>
      <w:r>
        <w:rPr/>
        <w:t>. A draft Theory of Change and program logic model for </w:t>
      </w:r>
      <w:r>
        <w:rPr>
          <w:i/>
        </w:rPr>
        <w:t>Our Way </w:t>
      </w:r>
      <w:r>
        <w:rPr/>
        <w:t>were also discussed at the workshops.</w:t>
      </w:r>
    </w:p>
    <w:p>
      <w:pPr>
        <w:pStyle w:val="BodyText"/>
        <w:spacing w:line="264" w:lineRule="auto" w:before="167"/>
        <w:ind w:left="300" w:right="974"/>
      </w:pPr>
      <w:r>
        <w:rPr/>
        <w:t>The first workshop was held on 11 March 2022 with a group of representatives from DCYJMA, Deloitte and Murawin team. The purpose of the workshop was to conduct provisional work which would then be discussed with a wider group of stakeholders at the second workshop.</w:t>
      </w:r>
    </w:p>
    <w:p>
      <w:pPr>
        <w:pStyle w:val="BodyText"/>
        <w:spacing w:line="264" w:lineRule="auto" w:before="169"/>
        <w:ind w:left="300" w:right="789"/>
      </w:pPr>
      <w:r>
        <w:rPr/>
        <w:t>The aim of the second workshop (held on 21 April 2022) was to engage with key system stakeholders across government agencies, peak body representatives and service providers. Breadth and depth of attendance was sought to ensure that all key system stakeholders were represented, and robust and practical discussions could be had to understand the </w:t>
      </w:r>
      <w:r>
        <w:rPr>
          <w:i/>
        </w:rPr>
        <w:t>Our Way </w:t>
      </w:r>
      <w:r>
        <w:rPr/>
        <w:t>system</w:t>
      </w:r>
    </w:p>
    <w:p>
      <w:pPr>
        <w:spacing w:after="0" w:line="264" w:lineRule="auto"/>
        <w:sectPr>
          <w:pgSz w:w="11910" w:h="16840"/>
          <w:pgMar w:header="650" w:footer="420" w:top="1340" w:bottom="620" w:left="1140" w:right="700"/>
        </w:sectPr>
      </w:pPr>
    </w:p>
    <w:p>
      <w:pPr>
        <w:pStyle w:val="BodyText"/>
        <w:spacing w:line="264" w:lineRule="auto" w:before="109"/>
        <w:ind w:left="300" w:right="1030"/>
      </w:pPr>
      <w:r>
        <w:rPr/>
        <w:t>and how stakeholders could collectively make positive changes. Overall, 20 individuals attended the workshop (</w:t>
      </w:r>
      <w:hyperlink w:history="true" w:anchor="_bookmark99">
        <w:r>
          <w:rPr/>
          <w:t>see Appendix A </w:t>
        </w:r>
      </w:hyperlink>
      <w:r>
        <w:rPr/>
        <w:t>for the full list of workshop participants).</w:t>
      </w:r>
    </w:p>
    <w:p>
      <w:pPr>
        <w:pStyle w:val="Heading4"/>
        <w:numPr>
          <w:ilvl w:val="2"/>
          <w:numId w:val="24"/>
        </w:numPr>
        <w:tabs>
          <w:tab w:pos="1320" w:val="left" w:leader="none"/>
          <w:tab w:pos="1321" w:val="left" w:leader="none"/>
        </w:tabs>
        <w:spacing w:line="240" w:lineRule="auto" w:before="169" w:after="0"/>
        <w:ind w:left="1320" w:right="0" w:hanging="1021"/>
        <w:jc w:val="left"/>
      </w:pPr>
      <w:bookmarkStart w:name="_bookmark38" w:id="60"/>
      <w:bookmarkEnd w:id="60"/>
      <w:r>
        <w:rPr>
          <w:b w:val="0"/>
        </w:rPr>
      </w:r>
      <w:bookmarkStart w:name="_bookmark38" w:id="61"/>
      <w:bookmarkEnd w:id="61"/>
      <w:r>
        <w:rPr/>
        <w:t>S</w:t>
      </w:r>
      <w:r>
        <w:rPr/>
        <w:t>takeholder</w:t>
      </w:r>
      <w:r>
        <w:rPr>
          <w:spacing w:val="-1"/>
        </w:rPr>
        <w:t> </w:t>
      </w:r>
      <w:r>
        <w:rPr/>
        <w:t>interviews</w:t>
      </w:r>
    </w:p>
    <w:p>
      <w:pPr>
        <w:pStyle w:val="BodyText"/>
        <w:spacing w:line="264" w:lineRule="auto" w:before="21"/>
        <w:ind w:left="300" w:right="965"/>
      </w:pPr>
      <w:r>
        <w:rPr/>
        <w:t>The purpose of the stakeholder interviews was to delve deeper into the views of people working within the </w:t>
      </w:r>
      <w:r>
        <w:rPr>
          <w:i/>
        </w:rPr>
        <w:t>Our Way </w:t>
      </w:r>
      <w:r>
        <w:rPr/>
        <w:t>system to improve outcomes for children. In total, 13 semi-structured interviews were conducted with 24 individuals (the consultation guide is outline</w:t>
      </w:r>
      <w:hyperlink w:history="true" w:anchor="_bookmark100">
        <w:r>
          <w:rPr/>
          <w:t>d in Appendix B</w:t>
        </w:r>
      </w:hyperlink>
      <w:r>
        <w:rPr/>
        <w:t>). The interview was focussed on alignment with </w:t>
      </w:r>
      <w:r>
        <w:rPr>
          <w:i/>
        </w:rPr>
        <w:t>Our Way</w:t>
      </w:r>
      <w:r>
        <w:rPr/>
        <w:t>, the changes have been made to date, what changes need to be made in the future, and key learnings to inform implementation of the next set of action plans.</w:t>
      </w:r>
    </w:p>
    <w:p>
      <w:pPr>
        <w:pStyle w:val="Heading4"/>
        <w:numPr>
          <w:ilvl w:val="2"/>
          <w:numId w:val="24"/>
        </w:numPr>
        <w:tabs>
          <w:tab w:pos="1320" w:val="left" w:leader="none"/>
          <w:tab w:pos="1321" w:val="left" w:leader="none"/>
        </w:tabs>
        <w:spacing w:line="240" w:lineRule="auto" w:before="167" w:after="0"/>
        <w:ind w:left="1320" w:right="0" w:hanging="1021"/>
        <w:jc w:val="left"/>
      </w:pPr>
      <w:bookmarkStart w:name="_bookmark39" w:id="62"/>
      <w:bookmarkEnd w:id="62"/>
      <w:r>
        <w:rPr>
          <w:b w:val="0"/>
        </w:rPr>
      </w:r>
      <w:bookmarkStart w:name="_bookmark39" w:id="63"/>
      <w:bookmarkEnd w:id="63"/>
      <w:r>
        <w:rPr/>
        <w:t>N</w:t>
      </w:r>
      <w:r>
        <w:rPr/>
        <w:t>etwork analysis</w:t>
      </w:r>
      <w:r>
        <w:rPr>
          <w:spacing w:val="3"/>
        </w:rPr>
        <w:t> </w:t>
      </w:r>
      <w:r>
        <w:rPr/>
        <w:t>survey</w:t>
      </w:r>
    </w:p>
    <w:p>
      <w:pPr>
        <w:pStyle w:val="BodyText"/>
        <w:spacing w:before="2"/>
        <w:ind w:left="300" w:right="813"/>
      </w:pPr>
      <w:r>
        <w:rPr/>
        <w:t>Undertaking transformational systems change, such as what </w:t>
      </w:r>
      <w:r>
        <w:rPr>
          <w:i/>
        </w:rPr>
        <w:t>Our Way </w:t>
      </w:r>
      <w:r>
        <w:rPr/>
        <w:t>aspires to, requires a unified, integrated and collaborative approach rather than siloed efforts of individual stakeholders. Network analysis is a research method used to understand relationships and collaboration. More specifically it can construct a view of who is working with whom, how information is given or acquired, how power is concentrated or shared, and how groups form and function.</w:t>
      </w:r>
    </w:p>
    <w:p>
      <w:pPr>
        <w:pStyle w:val="BodyText"/>
      </w:pPr>
    </w:p>
    <w:p>
      <w:pPr>
        <w:pStyle w:val="BodyText"/>
        <w:spacing w:before="1"/>
        <w:ind w:left="300" w:right="827"/>
      </w:pPr>
      <w:r>
        <w:rPr/>
        <w:t>A network analysis survey was developed to gather relational data to generate a deeper understanding of the current structure and function of the </w:t>
      </w:r>
      <w:r>
        <w:rPr>
          <w:i/>
        </w:rPr>
        <w:t>Our Way </w:t>
      </w:r>
      <w:r>
        <w:rPr/>
        <w:t>system and identify efficient leverage points to positively influence the system’s capacity to achieve the objectives of </w:t>
      </w:r>
      <w:r>
        <w:rPr>
          <w:i/>
        </w:rPr>
        <w:t>Our Way</w:t>
      </w:r>
      <w:r>
        <w:rPr/>
        <w:t>. The survey questions were designed in collaboration with DCYJMA (</w:t>
      </w:r>
      <w:hyperlink w:history="true" w:anchor="_bookmark106">
        <w:r>
          <w:rPr/>
          <w:t>see Appendix C </w:t>
        </w:r>
      </w:hyperlink>
      <w:r>
        <w:rPr/>
        <w:t>for the full list of survey questions) and disseminated via a snowball approach (i.e., emailed to an initial group of individuals who were encouraged to share with others) to a broad range of stakeholders across government agencies and service providers. Follow up emails were also sent two weeks after the initial invitation to encourage participation.</w:t>
      </w:r>
    </w:p>
    <w:p>
      <w:pPr>
        <w:pStyle w:val="BodyText"/>
        <w:spacing w:before="6"/>
        <w:rPr>
          <w:sz w:val="19"/>
        </w:rPr>
      </w:pPr>
    </w:p>
    <w:p>
      <w:pPr>
        <w:pStyle w:val="BodyText"/>
        <w:spacing w:line="264" w:lineRule="auto"/>
        <w:ind w:left="300" w:right="884"/>
      </w:pPr>
      <w:r>
        <w:rPr/>
        <w:t>Overall, there were 23 respondents to the network analysis survey (see </w:t>
      </w:r>
      <w:hyperlink w:history="true" w:anchor="_bookmark40">
        <w:r>
          <w:rPr/>
          <w:t>Table 3.2</w:t>
        </w:r>
      </w:hyperlink>
      <w:r>
        <w:rPr/>
        <w:t>) with a roughly even split between people working in executive and central policy and strategy roles, regional operational and frontline service delivery roles, and other roles. DCYJMA representatives notably made up two thirds of respondents. Given the low response rate from representatives from other government agencies and non-government organisations, the network analysis and findings presented in this report are limited to the responses from DCYJMA and ACCOs. This is to avoid representing findings that are not sufficiently reliable and to protect the confidentiality of survey respondents.</w:t>
      </w:r>
    </w:p>
    <w:p>
      <w:pPr>
        <w:pStyle w:val="BodyText"/>
        <w:spacing w:before="4"/>
        <w:rPr>
          <w:sz w:val="20"/>
        </w:rPr>
      </w:pPr>
    </w:p>
    <w:p>
      <w:pPr>
        <w:spacing w:before="1"/>
        <w:ind w:left="300" w:right="0" w:firstLine="0"/>
        <w:jc w:val="left"/>
        <w:rPr>
          <w:sz w:val="17"/>
        </w:rPr>
      </w:pPr>
      <w:r>
        <w:rPr>
          <w:color w:val="75787A"/>
          <w:sz w:val="17"/>
        </w:rPr>
        <w:t>Table </w:t>
      </w:r>
      <w:bookmarkStart w:name="_bookmark40" w:id="64"/>
      <w:bookmarkEnd w:id="64"/>
      <w:r>
        <w:rPr>
          <w:color w:val="75787A"/>
          <w:sz w:val="17"/>
        </w:rPr>
        <w:t>3.2</w:t>
      </w:r>
      <w:r>
        <w:rPr>
          <w:color w:val="75787A"/>
          <w:sz w:val="17"/>
        </w:rPr>
        <w:t> Number of respondents by stakeholder group who participated in the network analysis survey</w:t>
      </w:r>
    </w:p>
    <w:p>
      <w:pPr>
        <w:pStyle w:val="BodyText"/>
        <w:spacing w:before="9"/>
        <w:rPr>
          <w:sz w:val="19"/>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61"/>
        <w:gridCol w:w="4395"/>
      </w:tblGrid>
      <w:tr>
        <w:trPr>
          <w:trHeight w:val="364" w:hRule="atLeast"/>
        </w:trPr>
        <w:tc>
          <w:tcPr>
            <w:tcW w:w="4261" w:type="dxa"/>
            <w:tcBorders>
              <w:top w:val="single" w:sz="24" w:space="0" w:color="61B5E4"/>
              <w:bottom w:val="single" w:sz="4" w:space="0" w:color="000000"/>
            </w:tcBorders>
          </w:tcPr>
          <w:p>
            <w:pPr>
              <w:pStyle w:val="TableParagraph"/>
              <w:spacing w:before="90"/>
              <w:ind w:left="71"/>
              <w:rPr>
                <w:b/>
                <w:sz w:val="17"/>
              </w:rPr>
            </w:pPr>
            <w:r>
              <w:rPr>
                <w:b/>
                <w:sz w:val="17"/>
              </w:rPr>
              <w:t>Stakeholder group</w:t>
            </w:r>
          </w:p>
        </w:tc>
        <w:tc>
          <w:tcPr>
            <w:tcW w:w="4395" w:type="dxa"/>
            <w:tcBorders>
              <w:top w:val="single" w:sz="24" w:space="0" w:color="61B5E4"/>
              <w:bottom w:val="single" w:sz="4" w:space="0" w:color="000000"/>
            </w:tcBorders>
          </w:tcPr>
          <w:p>
            <w:pPr>
              <w:pStyle w:val="TableParagraph"/>
              <w:spacing w:before="90"/>
              <w:ind w:left="2419"/>
              <w:rPr>
                <w:b/>
                <w:sz w:val="17"/>
              </w:rPr>
            </w:pPr>
            <w:r>
              <w:rPr>
                <w:b/>
                <w:sz w:val="17"/>
              </w:rPr>
              <w:t>Number</w:t>
            </w:r>
          </w:p>
        </w:tc>
      </w:tr>
      <w:tr>
        <w:trPr>
          <w:trHeight w:val="352" w:hRule="atLeast"/>
        </w:trPr>
        <w:tc>
          <w:tcPr>
            <w:tcW w:w="4261" w:type="dxa"/>
            <w:tcBorders>
              <w:top w:val="single" w:sz="4" w:space="0" w:color="000000"/>
              <w:bottom w:val="single" w:sz="4" w:space="0" w:color="000000"/>
            </w:tcBorders>
          </w:tcPr>
          <w:p>
            <w:pPr>
              <w:pStyle w:val="TableParagraph"/>
              <w:spacing w:before="90"/>
              <w:ind w:left="71"/>
              <w:rPr>
                <w:sz w:val="17"/>
              </w:rPr>
            </w:pPr>
            <w:r>
              <w:rPr>
                <w:sz w:val="17"/>
              </w:rPr>
              <w:t>DCYJMA</w:t>
            </w:r>
          </w:p>
        </w:tc>
        <w:tc>
          <w:tcPr>
            <w:tcW w:w="4395" w:type="dxa"/>
            <w:tcBorders>
              <w:top w:val="single" w:sz="4" w:space="0" w:color="000000"/>
              <w:bottom w:val="single" w:sz="4" w:space="0" w:color="000000"/>
            </w:tcBorders>
          </w:tcPr>
          <w:p>
            <w:pPr>
              <w:pStyle w:val="TableParagraph"/>
              <w:spacing w:before="90"/>
              <w:ind w:left="2419"/>
              <w:rPr>
                <w:sz w:val="17"/>
              </w:rPr>
            </w:pPr>
            <w:r>
              <w:rPr>
                <w:sz w:val="17"/>
              </w:rPr>
              <w:t>15</w:t>
            </w:r>
          </w:p>
        </w:tc>
      </w:tr>
      <w:tr>
        <w:trPr>
          <w:trHeight w:val="364" w:hRule="atLeast"/>
        </w:trPr>
        <w:tc>
          <w:tcPr>
            <w:tcW w:w="4261" w:type="dxa"/>
            <w:tcBorders>
              <w:top w:val="single" w:sz="4" w:space="0" w:color="000000"/>
              <w:bottom w:val="single" w:sz="4" w:space="0" w:color="000000"/>
            </w:tcBorders>
          </w:tcPr>
          <w:p>
            <w:pPr>
              <w:pStyle w:val="TableParagraph"/>
              <w:spacing w:before="90"/>
              <w:ind w:left="71"/>
              <w:rPr>
                <w:sz w:val="17"/>
              </w:rPr>
            </w:pPr>
            <w:r>
              <w:rPr>
                <w:sz w:val="17"/>
              </w:rPr>
              <w:t>DESBT</w:t>
            </w:r>
          </w:p>
        </w:tc>
        <w:tc>
          <w:tcPr>
            <w:tcW w:w="4395" w:type="dxa"/>
            <w:tcBorders>
              <w:top w:val="single" w:sz="4" w:space="0" w:color="000000"/>
              <w:bottom w:val="single" w:sz="4" w:space="0" w:color="000000"/>
            </w:tcBorders>
          </w:tcPr>
          <w:p>
            <w:pPr>
              <w:pStyle w:val="TableParagraph"/>
              <w:spacing w:before="90"/>
              <w:ind w:left="2419"/>
              <w:rPr>
                <w:sz w:val="17"/>
              </w:rPr>
            </w:pPr>
            <w:r>
              <w:rPr>
                <w:w w:val="100"/>
                <w:sz w:val="17"/>
              </w:rPr>
              <w:t>1</w:t>
            </w:r>
          </w:p>
        </w:tc>
      </w:tr>
      <w:tr>
        <w:trPr>
          <w:trHeight w:val="365" w:hRule="atLeast"/>
        </w:trPr>
        <w:tc>
          <w:tcPr>
            <w:tcW w:w="4261" w:type="dxa"/>
            <w:tcBorders>
              <w:top w:val="single" w:sz="4" w:space="0" w:color="000000"/>
              <w:bottom w:val="single" w:sz="4" w:space="0" w:color="000000"/>
            </w:tcBorders>
          </w:tcPr>
          <w:p>
            <w:pPr>
              <w:pStyle w:val="TableParagraph"/>
              <w:spacing w:before="91"/>
              <w:ind w:left="71"/>
              <w:rPr>
                <w:sz w:val="17"/>
              </w:rPr>
            </w:pPr>
            <w:r>
              <w:rPr>
                <w:sz w:val="17"/>
              </w:rPr>
              <w:t>ACCOs</w:t>
            </w:r>
          </w:p>
        </w:tc>
        <w:tc>
          <w:tcPr>
            <w:tcW w:w="4395" w:type="dxa"/>
            <w:tcBorders>
              <w:top w:val="single" w:sz="4" w:space="0" w:color="000000"/>
              <w:bottom w:val="single" w:sz="4" w:space="0" w:color="000000"/>
            </w:tcBorders>
          </w:tcPr>
          <w:p>
            <w:pPr>
              <w:pStyle w:val="TableParagraph"/>
              <w:spacing w:before="91"/>
              <w:ind w:left="2419"/>
              <w:rPr>
                <w:sz w:val="17"/>
              </w:rPr>
            </w:pPr>
            <w:r>
              <w:rPr>
                <w:w w:val="100"/>
                <w:sz w:val="17"/>
              </w:rPr>
              <w:t>6</w:t>
            </w:r>
          </w:p>
        </w:tc>
      </w:tr>
      <w:tr>
        <w:trPr>
          <w:trHeight w:val="364" w:hRule="atLeast"/>
        </w:trPr>
        <w:tc>
          <w:tcPr>
            <w:tcW w:w="4261" w:type="dxa"/>
            <w:tcBorders>
              <w:top w:val="single" w:sz="4" w:space="0" w:color="000000"/>
              <w:bottom w:val="single" w:sz="4" w:space="0" w:color="000000"/>
            </w:tcBorders>
          </w:tcPr>
          <w:p>
            <w:pPr>
              <w:pStyle w:val="TableParagraph"/>
              <w:spacing w:before="90"/>
              <w:ind w:left="71"/>
              <w:rPr>
                <w:sz w:val="17"/>
              </w:rPr>
            </w:pPr>
            <w:r>
              <w:rPr>
                <w:sz w:val="17"/>
              </w:rPr>
              <w:t>NGO</w:t>
            </w:r>
          </w:p>
        </w:tc>
        <w:tc>
          <w:tcPr>
            <w:tcW w:w="4395" w:type="dxa"/>
            <w:tcBorders>
              <w:top w:val="single" w:sz="4" w:space="0" w:color="000000"/>
              <w:bottom w:val="single" w:sz="4" w:space="0" w:color="000000"/>
            </w:tcBorders>
          </w:tcPr>
          <w:p>
            <w:pPr>
              <w:pStyle w:val="TableParagraph"/>
              <w:spacing w:before="90"/>
              <w:ind w:left="2419"/>
              <w:rPr>
                <w:sz w:val="17"/>
              </w:rPr>
            </w:pPr>
            <w:r>
              <w:rPr>
                <w:w w:val="100"/>
                <w:sz w:val="17"/>
              </w:rPr>
              <w:t>1</w:t>
            </w:r>
          </w:p>
        </w:tc>
      </w:tr>
      <w:tr>
        <w:trPr>
          <w:trHeight w:val="354" w:hRule="atLeast"/>
        </w:trPr>
        <w:tc>
          <w:tcPr>
            <w:tcW w:w="4261" w:type="dxa"/>
            <w:tcBorders>
              <w:top w:val="single" w:sz="4" w:space="0" w:color="000000"/>
              <w:bottom w:val="single" w:sz="4" w:space="0" w:color="000000"/>
            </w:tcBorders>
          </w:tcPr>
          <w:p>
            <w:pPr>
              <w:pStyle w:val="TableParagraph"/>
              <w:spacing w:before="90"/>
              <w:ind w:left="71"/>
              <w:rPr>
                <w:sz w:val="17"/>
              </w:rPr>
            </w:pPr>
            <w:r>
              <w:rPr>
                <w:sz w:val="17"/>
              </w:rPr>
              <w:t>Total</w:t>
            </w:r>
          </w:p>
        </w:tc>
        <w:tc>
          <w:tcPr>
            <w:tcW w:w="4395" w:type="dxa"/>
            <w:tcBorders>
              <w:top w:val="single" w:sz="4" w:space="0" w:color="000000"/>
              <w:bottom w:val="single" w:sz="4" w:space="0" w:color="000000"/>
            </w:tcBorders>
          </w:tcPr>
          <w:p>
            <w:pPr>
              <w:pStyle w:val="TableParagraph"/>
              <w:spacing w:before="90"/>
              <w:ind w:left="2419"/>
              <w:rPr>
                <w:sz w:val="17"/>
              </w:rPr>
            </w:pPr>
            <w:r>
              <w:rPr>
                <w:sz w:val="17"/>
              </w:rPr>
              <w:t>23</w:t>
            </w:r>
          </w:p>
        </w:tc>
      </w:tr>
    </w:tbl>
    <w:p>
      <w:pPr>
        <w:spacing w:after="0"/>
        <w:rPr>
          <w:sz w:val="17"/>
        </w:rPr>
        <w:sectPr>
          <w:pgSz w:w="11910" w:h="16840"/>
          <w:pgMar w:header="650" w:footer="420" w:top="1340" w:bottom="620" w:left="1140" w:right="700"/>
        </w:sectPr>
      </w:pPr>
    </w:p>
    <w:p>
      <w:pPr>
        <w:pStyle w:val="BodyText"/>
        <w:rPr>
          <w:sz w:val="20"/>
        </w:rPr>
      </w:pPr>
    </w:p>
    <w:p>
      <w:pPr>
        <w:pStyle w:val="BodyText"/>
        <w:spacing w:before="3"/>
        <w:rPr>
          <w:sz w:val="11"/>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7"/>
        <w:gridCol w:w="4096"/>
      </w:tblGrid>
      <w:tr>
        <w:trPr>
          <w:trHeight w:val="619" w:hRule="atLeast"/>
        </w:trPr>
        <w:tc>
          <w:tcPr>
            <w:tcW w:w="4637" w:type="dxa"/>
          </w:tcPr>
          <w:p>
            <w:pPr>
              <w:pStyle w:val="TableParagraph"/>
              <w:ind w:left="200"/>
              <w:rPr>
                <w:sz w:val="17"/>
              </w:rPr>
            </w:pPr>
            <w:r>
              <w:rPr>
                <w:color w:val="75787A"/>
                <w:sz w:val="17"/>
              </w:rPr>
              <w:t>Chart 3.1 Proportion of survey respondents by role</w:t>
            </w:r>
          </w:p>
        </w:tc>
        <w:tc>
          <w:tcPr>
            <w:tcW w:w="4096" w:type="dxa"/>
          </w:tcPr>
          <w:p>
            <w:pPr>
              <w:pStyle w:val="TableParagraph"/>
              <w:spacing w:line="206" w:lineRule="exact" w:before="6"/>
              <w:ind w:left="75" w:right="179"/>
              <w:rPr>
                <w:sz w:val="17"/>
              </w:rPr>
            </w:pPr>
            <w:r>
              <w:rPr>
                <w:color w:val="75787A"/>
                <w:sz w:val="17"/>
              </w:rPr>
              <w:t>Chart 3.2 Proportion of survey respondents identifying as Aboriginal and/or Torres Strait Islander</w:t>
            </w:r>
          </w:p>
        </w:tc>
      </w:tr>
    </w:tbl>
    <w:p>
      <w:pPr>
        <w:pStyle w:val="BodyText"/>
        <w:spacing w:before="11"/>
        <w:rPr>
          <w:sz w:val="16"/>
        </w:rPr>
      </w:pPr>
      <w:r>
        <w:rPr/>
        <w:drawing>
          <wp:anchor distT="0" distB="0" distL="0" distR="0" allowOverlap="1" layoutInCell="1" locked="0" behindDoc="0" simplePos="0" relativeHeight="110">
            <wp:simplePos x="0" y="0"/>
            <wp:positionH relativeFrom="page">
              <wp:posOffset>1027587</wp:posOffset>
            </wp:positionH>
            <wp:positionV relativeFrom="paragraph">
              <wp:posOffset>170591</wp:posOffset>
            </wp:positionV>
            <wp:extent cx="2692992" cy="1756409"/>
            <wp:effectExtent l="0" t="0" r="0" b="0"/>
            <wp:wrapTopAndBottom/>
            <wp:docPr id="33" name="image39.png"/>
            <wp:cNvGraphicFramePr>
              <a:graphicFrameLocks noChangeAspect="1"/>
            </wp:cNvGraphicFramePr>
            <a:graphic>
              <a:graphicData uri="http://schemas.openxmlformats.org/drawingml/2006/picture">
                <pic:pic>
                  <pic:nvPicPr>
                    <pic:cNvPr id="34" name="image39.png"/>
                    <pic:cNvPicPr/>
                  </pic:nvPicPr>
                  <pic:blipFill>
                    <a:blip r:embed="rId63" cstate="print"/>
                    <a:stretch>
                      <a:fillRect/>
                    </a:stretch>
                  </pic:blipFill>
                  <pic:spPr>
                    <a:xfrm>
                      <a:off x="0" y="0"/>
                      <a:ext cx="2692992" cy="1756409"/>
                    </a:xfrm>
                    <a:prstGeom prst="rect">
                      <a:avLst/>
                    </a:prstGeom>
                  </pic:spPr>
                </pic:pic>
              </a:graphicData>
            </a:graphic>
          </wp:anchor>
        </w:drawing>
      </w:r>
      <w:r>
        <w:rPr/>
        <w:drawing>
          <wp:anchor distT="0" distB="0" distL="0" distR="0" allowOverlap="1" layoutInCell="1" locked="0" behindDoc="0" simplePos="0" relativeHeight="111">
            <wp:simplePos x="0" y="0"/>
            <wp:positionH relativeFrom="page">
              <wp:posOffset>3868501</wp:posOffset>
            </wp:positionH>
            <wp:positionV relativeFrom="paragraph">
              <wp:posOffset>155509</wp:posOffset>
            </wp:positionV>
            <wp:extent cx="2683896" cy="1760220"/>
            <wp:effectExtent l="0" t="0" r="0" b="0"/>
            <wp:wrapTopAndBottom/>
            <wp:docPr id="35" name="image40.png"/>
            <wp:cNvGraphicFramePr>
              <a:graphicFrameLocks noChangeAspect="1"/>
            </wp:cNvGraphicFramePr>
            <a:graphic>
              <a:graphicData uri="http://schemas.openxmlformats.org/drawingml/2006/picture">
                <pic:pic>
                  <pic:nvPicPr>
                    <pic:cNvPr id="36" name="image40.png"/>
                    <pic:cNvPicPr/>
                  </pic:nvPicPr>
                  <pic:blipFill>
                    <a:blip r:embed="rId64" cstate="print"/>
                    <a:stretch>
                      <a:fillRect/>
                    </a:stretch>
                  </pic:blipFill>
                  <pic:spPr>
                    <a:xfrm>
                      <a:off x="0" y="0"/>
                      <a:ext cx="2683896" cy="1760220"/>
                    </a:xfrm>
                    <a:prstGeom prst="rect">
                      <a:avLst/>
                    </a:prstGeom>
                  </pic:spPr>
                </pic:pic>
              </a:graphicData>
            </a:graphic>
          </wp:anchor>
        </w:drawing>
      </w:r>
    </w:p>
    <w:p>
      <w:pPr>
        <w:spacing w:before="158"/>
        <w:ind w:left="300" w:right="0" w:firstLine="0"/>
        <w:jc w:val="left"/>
        <w:rPr>
          <w:sz w:val="16"/>
        </w:rPr>
      </w:pPr>
      <w:r>
        <w:rPr>
          <w:color w:val="75787A"/>
          <w:sz w:val="16"/>
        </w:rPr>
        <w:t>Source: Deloitte Network Analysis Survey (n=23)</w:t>
      </w:r>
    </w:p>
    <w:p>
      <w:pPr>
        <w:pStyle w:val="BodyText"/>
        <w:spacing w:before="8"/>
        <w:rPr>
          <w:sz w:val="15"/>
        </w:rPr>
      </w:pPr>
    </w:p>
    <w:p>
      <w:pPr>
        <w:pStyle w:val="BodyText"/>
        <w:spacing w:line="264" w:lineRule="auto"/>
        <w:ind w:left="300" w:right="758"/>
      </w:pPr>
      <w:r>
        <w:rPr/>
        <w:t>Most of the respondents were from South-East Queensland (17 from Brisbane and Gold Coast regions) while the remaining respondents were from Cairns and Hinterland, (2) Townsville (2), and Central Queensland (1). Six out of the 23 respondents reported identifying as Aboriginal and/or Torres Strait Islander (Chart 3.2). Respondents had been working for their respective organisations for a range of years (Chart</w:t>
      </w:r>
      <w:r>
        <w:rPr>
          <w:spacing w:val="-9"/>
        </w:rPr>
        <w:t> </w:t>
      </w:r>
      <w:r>
        <w:rPr/>
        <w:t>3.3).</w:t>
      </w:r>
    </w:p>
    <w:p>
      <w:pPr>
        <w:spacing w:before="180"/>
        <w:ind w:left="300" w:right="0" w:firstLine="0"/>
        <w:jc w:val="left"/>
        <w:rPr>
          <w:sz w:val="17"/>
        </w:rPr>
      </w:pPr>
      <w:r>
        <w:rPr>
          <w:color w:val="75787A"/>
          <w:sz w:val="17"/>
        </w:rPr>
        <w:t>Chart 3.3 Number of years survey respondents have been working for their respective organisations</w:t>
      </w:r>
    </w:p>
    <w:p>
      <w:pPr>
        <w:pStyle w:val="BodyText"/>
        <w:spacing w:before="8"/>
        <w:rPr>
          <w:sz w:val="24"/>
        </w:rPr>
      </w:pPr>
      <w:r>
        <w:rPr/>
        <w:drawing>
          <wp:anchor distT="0" distB="0" distL="0" distR="0" allowOverlap="1" layoutInCell="1" locked="0" behindDoc="0" simplePos="0" relativeHeight="112">
            <wp:simplePos x="0" y="0"/>
            <wp:positionH relativeFrom="page">
              <wp:posOffset>979598</wp:posOffset>
            </wp:positionH>
            <wp:positionV relativeFrom="paragraph">
              <wp:posOffset>215060</wp:posOffset>
            </wp:positionV>
            <wp:extent cx="3795305" cy="1535525"/>
            <wp:effectExtent l="0" t="0" r="0" b="0"/>
            <wp:wrapTopAndBottom/>
            <wp:docPr id="37" name="image41.png"/>
            <wp:cNvGraphicFramePr>
              <a:graphicFrameLocks noChangeAspect="1"/>
            </wp:cNvGraphicFramePr>
            <a:graphic>
              <a:graphicData uri="http://schemas.openxmlformats.org/drawingml/2006/picture">
                <pic:pic>
                  <pic:nvPicPr>
                    <pic:cNvPr id="38" name="image41.png"/>
                    <pic:cNvPicPr/>
                  </pic:nvPicPr>
                  <pic:blipFill>
                    <a:blip r:embed="rId65" cstate="print"/>
                    <a:stretch>
                      <a:fillRect/>
                    </a:stretch>
                  </pic:blipFill>
                  <pic:spPr>
                    <a:xfrm>
                      <a:off x="0" y="0"/>
                      <a:ext cx="3795305" cy="1535525"/>
                    </a:xfrm>
                    <a:prstGeom prst="rect">
                      <a:avLst/>
                    </a:prstGeom>
                  </pic:spPr>
                </pic:pic>
              </a:graphicData>
            </a:graphic>
          </wp:anchor>
        </w:drawing>
      </w:r>
    </w:p>
    <w:p>
      <w:pPr>
        <w:pStyle w:val="BodyText"/>
        <w:rPr>
          <w:sz w:val="20"/>
        </w:rPr>
      </w:pPr>
    </w:p>
    <w:p>
      <w:pPr>
        <w:spacing w:before="130"/>
        <w:ind w:left="300" w:right="0" w:firstLine="0"/>
        <w:jc w:val="left"/>
        <w:rPr>
          <w:sz w:val="16"/>
        </w:rPr>
      </w:pPr>
      <w:r>
        <w:rPr>
          <w:color w:val="75787A"/>
          <w:sz w:val="16"/>
        </w:rPr>
        <w:t>Source: Deloitte Network Analysis Survey (n=23)</w:t>
      </w:r>
    </w:p>
    <w:p>
      <w:pPr>
        <w:pStyle w:val="BodyText"/>
        <w:spacing w:before="9"/>
        <w:rPr>
          <w:sz w:val="20"/>
        </w:rPr>
      </w:pPr>
    </w:p>
    <w:p>
      <w:pPr>
        <w:pStyle w:val="Heading2"/>
        <w:numPr>
          <w:ilvl w:val="1"/>
          <w:numId w:val="24"/>
        </w:numPr>
        <w:tabs>
          <w:tab w:pos="1094" w:val="left" w:leader="none"/>
          <w:tab w:pos="1095" w:val="left" w:leader="none"/>
        </w:tabs>
        <w:spacing w:line="240" w:lineRule="auto" w:before="0" w:after="0"/>
        <w:ind w:left="1094" w:right="0" w:hanging="795"/>
        <w:jc w:val="left"/>
      </w:pPr>
      <w:bookmarkStart w:name="_bookmark41" w:id="65"/>
      <w:bookmarkEnd w:id="65"/>
      <w:r>
        <w:rPr>
          <w:b w:val="0"/>
        </w:rPr>
      </w:r>
      <w:bookmarkStart w:name="_bookmark41" w:id="66"/>
      <w:bookmarkEnd w:id="66"/>
      <w:r>
        <w:rPr>
          <w:color w:val="61B5E4"/>
        </w:rPr>
        <w:t>T</w:t>
      </w:r>
      <w:r>
        <w:rPr>
          <w:color w:val="61B5E4"/>
        </w:rPr>
        <w:t>his</w:t>
      </w:r>
      <w:r>
        <w:rPr>
          <w:color w:val="61B5E4"/>
          <w:spacing w:val="-4"/>
        </w:rPr>
        <w:t> </w:t>
      </w:r>
      <w:r>
        <w:rPr>
          <w:color w:val="61B5E4"/>
        </w:rPr>
        <w:t>report</w:t>
      </w:r>
    </w:p>
    <w:p>
      <w:pPr>
        <w:pStyle w:val="BodyText"/>
        <w:spacing w:before="20"/>
        <w:ind w:left="300"/>
      </w:pPr>
      <w:r>
        <w:rPr/>
        <w:t>At a high level, this final evaluation report:</w:t>
      </w:r>
    </w:p>
    <w:p>
      <w:pPr>
        <w:pStyle w:val="ListParagraph"/>
        <w:numPr>
          <w:ilvl w:val="0"/>
          <w:numId w:val="21"/>
        </w:numPr>
        <w:tabs>
          <w:tab w:pos="660" w:val="left" w:leader="none"/>
          <w:tab w:pos="661" w:val="left" w:leader="none"/>
        </w:tabs>
        <w:spacing w:line="261" w:lineRule="auto" w:before="192" w:after="0"/>
        <w:ind w:left="660" w:right="1552" w:hanging="360"/>
        <w:jc w:val="left"/>
        <w:rPr>
          <w:b/>
          <w:sz w:val="18"/>
        </w:rPr>
      </w:pPr>
      <w:r>
        <w:rPr>
          <w:sz w:val="18"/>
        </w:rPr>
        <w:t>describes the </w:t>
      </w:r>
      <w:r>
        <w:rPr>
          <w:i/>
          <w:sz w:val="18"/>
        </w:rPr>
        <w:t>Our Way </w:t>
      </w:r>
      <w:r>
        <w:rPr>
          <w:sz w:val="18"/>
        </w:rPr>
        <w:t>system and how different organisation work together to deliver outcomes articulated in </w:t>
      </w:r>
      <w:r>
        <w:rPr>
          <w:i/>
          <w:sz w:val="18"/>
        </w:rPr>
        <w:t>Our Way </w:t>
      </w:r>
      <w:r>
        <w:rPr>
          <w:b/>
          <w:color w:val="0096A9"/>
          <w:sz w:val="18"/>
        </w:rPr>
        <w:t>(see Chapter</w:t>
      </w:r>
      <w:r>
        <w:rPr>
          <w:b/>
          <w:color w:val="0096A9"/>
          <w:spacing w:val="-4"/>
          <w:sz w:val="18"/>
        </w:rPr>
        <w:t> </w:t>
      </w:r>
      <w:r>
        <w:rPr>
          <w:b/>
          <w:color w:val="0096A9"/>
          <w:sz w:val="18"/>
        </w:rPr>
        <w:t>4)</w:t>
      </w:r>
    </w:p>
    <w:p>
      <w:pPr>
        <w:pStyle w:val="ListParagraph"/>
        <w:numPr>
          <w:ilvl w:val="0"/>
          <w:numId w:val="21"/>
        </w:numPr>
        <w:tabs>
          <w:tab w:pos="660" w:val="left" w:leader="none"/>
          <w:tab w:pos="661" w:val="left" w:leader="none"/>
        </w:tabs>
        <w:spacing w:line="261" w:lineRule="auto" w:before="1" w:after="0"/>
        <w:ind w:left="660" w:right="874" w:hanging="360"/>
        <w:jc w:val="left"/>
        <w:rPr>
          <w:b/>
          <w:sz w:val="18"/>
        </w:rPr>
      </w:pPr>
      <w:r>
        <w:rPr>
          <w:sz w:val="18"/>
        </w:rPr>
        <w:t>assesses the extent to which there have been improvements in the </w:t>
      </w:r>
      <w:r>
        <w:rPr>
          <w:i/>
          <w:sz w:val="18"/>
        </w:rPr>
        <w:t>Our Way </w:t>
      </w:r>
      <w:r>
        <w:rPr>
          <w:sz w:val="18"/>
        </w:rPr>
        <w:t>system following the implementation of </w:t>
      </w:r>
      <w:r>
        <w:rPr>
          <w:i/>
          <w:sz w:val="18"/>
        </w:rPr>
        <w:t>Our Way </w:t>
      </w:r>
      <w:r>
        <w:rPr>
          <w:b/>
          <w:color w:val="0096A9"/>
          <w:sz w:val="18"/>
        </w:rPr>
        <w:t>(see Chapter</w:t>
      </w:r>
      <w:r>
        <w:rPr>
          <w:b/>
          <w:color w:val="0096A9"/>
          <w:spacing w:val="-5"/>
          <w:sz w:val="18"/>
        </w:rPr>
        <w:t> </w:t>
      </w:r>
      <w:r>
        <w:rPr>
          <w:b/>
          <w:color w:val="0096A9"/>
          <w:sz w:val="18"/>
        </w:rPr>
        <w:t>4)</w:t>
      </w:r>
    </w:p>
    <w:p>
      <w:pPr>
        <w:pStyle w:val="ListParagraph"/>
        <w:numPr>
          <w:ilvl w:val="0"/>
          <w:numId w:val="21"/>
        </w:numPr>
        <w:tabs>
          <w:tab w:pos="660" w:val="left" w:leader="none"/>
          <w:tab w:pos="661" w:val="left" w:leader="none"/>
        </w:tabs>
        <w:spacing w:line="240" w:lineRule="auto" w:before="1" w:after="0"/>
        <w:ind w:left="660" w:right="0" w:hanging="361"/>
        <w:jc w:val="left"/>
        <w:rPr>
          <w:i/>
          <w:sz w:val="18"/>
        </w:rPr>
      </w:pPr>
      <w:r>
        <w:rPr>
          <w:sz w:val="18"/>
        </w:rPr>
        <w:t>outlines the key implementation enablers and barriers which impact the achievement of</w:t>
      </w:r>
      <w:r>
        <w:rPr>
          <w:spacing w:val="-18"/>
          <w:sz w:val="18"/>
        </w:rPr>
        <w:t> </w:t>
      </w:r>
      <w:r>
        <w:rPr>
          <w:i/>
          <w:sz w:val="18"/>
        </w:rPr>
        <w:t>Our</w:t>
      </w:r>
    </w:p>
    <w:p>
      <w:pPr>
        <w:spacing w:before="20"/>
        <w:ind w:left="660" w:right="0" w:firstLine="0"/>
        <w:jc w:val="left"/>
        <w:rPr>
          <w:b/>
          <w:sz w:val="18"/>
        </w:rPr>
      </w:pPr>
      <w:r>
        <w:rPr>
          <w:i/>
          <w:sz w:val="18"/>
        </w:rPr>
        <w:t>Way’s </w:t>
      </w:r>
      <w:r>
        <w:rPr>
          <w:sz w:val="18"/>
        </w:rPr>
        <w:t>objectives </w:t>
      </w:r>
      <w:r>
        <w:rPr>
          <w:b/>
          <w:color w:val="0096A9"/>
          <w:sz w:val="18"/>
        </w:rPr>
        <w:t>(see Chapter 5)</w:t>
      </w:r>
    </w:p>
    <w:p>
      <w:pPr>
        <w:pStyle w:val="ListParagraph"/>
        <w:numPr>
          <w:ilvl w:val="0"/>
          <w:numId w:val="21"/>
        </w:numPr>
        <w:tabs>
          <w:tab w:pos="660" w:val="left" w:leader="none"/>
          <w:tab w:pos="661" w:val="left" w:leader="none"/>
        </w:tabs>
        <w:spacing w:line="240" w:lineRule="auto" w:before="21" w:after="0"/>
        <w:ind w:left="660" w:right="0" w:hanging="361"/>
        <w:jc w:val="left"/>
        <w:rPr>
          <w:sz w:val="18"/>
        </w:rPr>
      </w:pPr>
      <w:r>
        <w:rPr>
          <w:sz w:val="18"/>
        </w:rPr>
        <w:t>provide evaluation artefacts (in the form of a Theory of Change and program logic model)</w:t>
      </w:r>
      <w:r>
        <w:rPr>
          <w:spacing w:val="-22"/>
          <w:sz w:val="18"/>
        </w:rPr>
        <w:t> </w:t>
      </w:r>
      <w:r>
        <w:rPr>
          <w:sz w:val="18"/>
        </w:rPr>
        <w:t>to</w:t>
      </w:r>
    </w:p>
    <w:p>
      <w:pPr>
        <w:pStyle w:val="BodyText"/>
        <w:spacing w:before="20"/>
        <w:ind w:left="660"/>
        <w:rPr>
          <w:b/>
        </w:rPr>
      </w:pPr>
      <w:r>
        <w:rPr/>
        <w:t>strengthen the system’s ability to work towards shared goals </w:t>
      </w:r>
      <w:r>
        <w:rPr>
          <w:b/>
          <w:color w:val="0096A9"/>
        </w:rPr>
        <w:t>(see Chapter 6)</w:t>
      </w:r>
    </w:p>
    <w:p>
      <w:pPr>
        <w:pStyle w:val="ListParagraph"/>
        <w:numPr>
          <w:ilvl w:val="0"/>
          <w:numId w:val="21"/>
        </w:numPr>
        <w:tabs>
          <w:tab w:pos="660" w:val="left" w:leader="none"/>
          <w:tab w:pos="661" w:val="left" w:leader="none"/>
        </w:tabs>
        <w:spacing w:line="261" w:lineRule="auto" w:before="21" w:after="0"/>
        <w:ind w:left="660" w:right="1088" w:hanging="360"/>
        <w:jc w:val="left"/>
        <w:rPr>
          <w:b/>
          <w:sz w:val="18"/>
        </w:rPr>
      </w:pPr>
      <w:r>
        <w:rPr>
          <w:sz w:val="18"/>
        </w:rPr>
        <w:t>Provides practical recommendations on how to address earlier barriers and support positive changes in the way the </w:t>
      </w:r>
      <w:r>
        <w:rPr>
          <w:i/>
          <w:sz w:val="18"/>
        </w:rPr>
        <w:t>Our Way </w:t>
      </w:r>
      <w:r>
        <w:rPr>
          <w:sz w:val="18"/>
        </w:rPr>
        <w:t>system operates </w:t>
      </w:r>
      <w:r>
        <w:rPr>
          <w:b/>
          <w:color w:val="0096A9"/>
          <w:sz w:val="18"/>
        </w:rPr>
        <w:t>(see Chapter</w:t>
      </w:r>
      <w:r>
        <w:rPr>
          <w:b/>
          <w:color w:val="0096A9"/>
          <w:spacing w:val="-11"/>
          <w:sz w:val="18"/>
        </w:rPr>
        <w:t> </w:t>
      </w:r>
      <w:r>
        <w:rPr>
          <w:b/>
          <w:color w:val="0096A9"/>
          <w:sz w:val="18"/>
        </w:rPr>
        <w:t>7).</w:t>
      </w:r>
    </w:p>
    <w:p>
      <w:pPr>
        <w:spacing w:after="0" w:line="261" w:lineRule="auto"/>
        <w:jc w:val="left"/>
        <w:rPr>
          <w:sz w:val="18"/>
        </w:rPr>
        <w:sectPr>
          <w:pgSz w:w="11910" w:h="16840"/>
          <w:pgMar w:header="650" w:footer="420" w:top="1340" w:bottom="620" w:left="1140" w:right="700"/>
        </w:sectPr>
      </w:pPr>
    </w:p>
    <w:p>
      <w:pPr>
        <w:pStyle w:val="Heading2"/>
        <w:numPr>
          <w:ilvl w:val="1"/>
          <w:numId w:val="24"/>
        </w:numPr>
        <w:tabs>
          <w:tab w:pos="1094" w:val="left" w:leader="none"/>
          <w:tab w:pos="1095" w:val="left" w:leader="none"/>
        </w:tabs>
        <w:spacing w:line="240" w:lineRule="auto" w:before="102" w:after="0"/>
        <w:ind w:left="1094" w:right="0" w:hanging="795"/>
        <w:jc w:val="left"/>
      </w:pPr>
      <w:bookmarkStart w:name="_bookmark42" w:id="67"/>
      <w:bookmarkEnd w:id="67"/>
      <w:r>
        <w:rPr>
          <w:b w:val="0"/>
        </w:rPr>
      </w:r>
      <w:bookmarkStart w:name="_bookmark42" w:id="68"/>
      <w:bookmarkEnd w:id="68"/>
      <w:r>
        <w:rPr>
          <w:color w:val="61B5E4"/>
        </w:rPr>
        <w:t>C</w:t>
      </w:r>
      <w:r>
        <w:rPr>
          <w:color w:val="61B5E4"/>
        </w:rPr>
        <w:t>onsiderations and</w:t>
      </w:r>
      <w:r>
        <w:rPr>
          <w:color w:val="61B5E4"/>
          <w:spacing w:val="-5"/>
        </w:rPr>
        <w:t> </w:t>
      </w:r>
      <w:r>
        <w:rPr>
          <w:color w:val="61B5E4"/>
        </w:rPr>
        <w:t>limitations</w:t>
      </w:r>
    </w:p>
    <w:p>
      <w:pPr>
        <w:pStyle w:val="BodyText"/>
        <w:spacing w:before="20"/>
        <w:ind w:left="300"/>
      </w:pPr>
      <w:r>
        <w:rPr/>
        <w:t>There are several considerations and limitations that readers of the report should be aware of:</w:t>
      </w:r>
    </w:p>
    <w:p>
      <w:pPr>
        <w:pStyle w:val="ListParagraph"/>
        <w:numPr>
          <w:ilvl w:val="0"/>
          <w:numId w:val="29"/>
        </w:numPr>
        <w:tabs>
          <w:tab w:pos="642" w:val="left" w:leader="none"/>
        </w:tabs>
        <w:spacing w:line="264" w:lineRule="auto" w:before="192" w:after="0"/>
        <w:ind w:left="641" w:right="739" w:hanging="341"/>
        <w:jc w:val="left"/>
        <w:rPr>
          <w:sz w:val="18"/>
        </w:rPr>
      </w:pPr>
      <w:r>
        <w:rPr>
          <w:b/>
          <w:sz w:val="18"/>
        </w:rPr>
        <w:t>Systems level evaluation: </w:t>
      </w:r>
      <w:r>
        <w:rPr>
          <w:sz w:val="18"/>
        </w:rPr>
        <w:t>Phase two of the evaluation is focussed on examining how the  </w:t>
      </w:r>
      <w:r>
        <w:rPr>
          <w:i/>
          <w:sz w:val="18"/>
        </w:rPr>
        <w:t>Our Way </w:t>
      </w:r>
      <w:r>
        <w:rPr>
          <w:sz w:val="18"/>
        </w:rPr>
        <w:t>system is currently operating and how the system could be improved to support efforts to progress towards the attainment of </w:t>
      </w:r>
      <w:r>
        <w:rPr>
          <w:i/>
          <w:sz w:val="18"/>
        </w:rPr>
        <w:t>Our Way </w:t>
      </w:r>
      <w:r>
        <w:rPr>
          <w:sz w:val="18"/>
        </w:rPr>
        <w:t>objectives. Findings related to assessment of the Changing Tracks actions plans are based on the findings from the first phase of the evaluation and is not extensively covered in this</w:t>
      </w:r>
      <w:r>
        <w:rPr>
          <w:spacing w:val="-11"/>
          <w:sz w:val="18"/>
        </w:rPr>
        <w:t> </w:t>
      </w:r>
      <w:r>
        <w:rPr>
          <w:sz w:val="18"/>
        </w:rPr>
        <w:t>report.</w:t>
      </w:r>
    </w:p>
    <w:p>
      <w:pPr>
        <w:pStyle w:val="ListParagraph"/>
        <w:numPr>
          <w:ilvl w:val="0"/>
          <w:numId w:val="29"/>
        </w:numPr>
        <w:tabs>
          <w:tab w:pos="642" w:val="left" w:leader="none"/>
        </w:tabs>
        <w:spacing w:line="264" w:lineRule="auto" w:before="0" w:after="0"/>
        <w:ind w:left="641" w:right="767" w:hanging="341"/>
        <w:jc w:val="left"/>
        <w:rPr>
          <w:sz w:val="18"/>
        </w:rPr>
      </w:pPr>
      <w:r>
        <w:rPr>
          <w:b/>
          <w:sz w:val="18"/>
        </w:rPr>
        <w:t>Representativeness of views from across the system: </w:t>
      </w:r>
      <w:r>
        <w:rPr>
          <w:sz w:val="18"/>
        </w:rPr>
        <w:t>Phase two of the evaluation sought to engage with all key government stakeholders within the </w:t>
      </w:r>
      <w:r>
        <w:rPr>
          <w:i/>
          <w:sz w:val="18"/>
        </w:rPr>
        <w:t>Our Way </w:t>
      </w:r>
      <w:r>
        <w:rPr>
          <w:sz w:val="18"/>
        </w:rPr>
        <w:t>system. Despite repeated attempts to engage different government agencies, some government agencies did not participate in semi-structured interviews and / or workshops. This broadly reflects the lack of engagement by selected government agencies in relation to the </w:t>
      </w:r>
      <w:r>
        <w:rPr>
          <w:i/>
          <w:sz w:val="18"/>
        </w:rPr>
        <w:t>Our Way </w:t>
      </w:r>
      <w:r>
        <w:rPr>
          <w:sz w:val="18"/>
        </w:rPr>
        <w:t>strategy – a theme explored throughout this report. </w:t>
      </w:r>
      <w:hyperlink w:history="true" w:anchor="_bookmark99">
        <w:r>
          <w:rPr>
            <w:sz w:val="18"/>
          </w:rPr>
          <w:t>Appendix A </w:t>
        </w:r>
      </w:hyperlink>
      <w:r>
        <w:rPr>
          <w:sz w:val="18"/>
        </w:rPr>
        <w:t>outlines the key stakeholders who participated in this phase of the</w:t>
      </w:r>
      <w:r>
        <w:rPr>
          <w:spacing w:val="-6"/>
          <w:sz w:val="18"/>
        </w:rPr>
        <w:t> </w:t>
      </w:r>
      <w:r>
        <w:rPr>
          <w:sz w:val="18"/>
        </w:rPr>
        <w:t>evaluation.</w:t>
      </w:r>
    </w:p>
    <w:p>
      <w:pPr>
        <w:pStyle w:val="ListParagraph"/>
        <w:numPr>
          <w:ilvl w:val="0"/>
          <w:numId w:val="29"/>
        </w:numPr>
        <w:tabs>
          <w:tab w:pos="642" w:val="left" w:leader="none"/>
        </w:tabs>
        <w:spacing w:line="264" w:lineRule="auto" w:before="0" w:after="0"/>
        <w:ind w:left="641" w:right="1197" w:hanging="341"/>
        <w:jc w:val="left"/>
        <w:rPr>
          <w:sz w:val="18"/>
        </w:rPr>
      </w:pPr>
      <w:r>
        <w:rPr>
          <w:b/>
          <w:sz w:val="18"/>
        </w:rPr>
        <w:t>Stakeholder engagement approach: </w:t>
      </w:r>
      <w:r>
        <w:rPr>
          <w:sz w:val="18"/>
        </w:rPr>
        <w:t>In the first phase of this evaluation, there was substantive consultation and engagement with a broad range of system stakeholders. This included Aboriginal and Torres Strait Islander children, young people, families and other community members, service providers and government stakeholders and partner organisations. There was limited community engagement in the second phase of this evaluation – Aboriginal and Torres Strait Islander community leaders and frontline service provider representatives were engaged during workshops and semi-structured interviews. Where possible, Deloitte leveraged earlier consultation notes (from the first phase of consultation) to incorporate the views of community members throughout the</w:t>
      </w:r>
      <w:r>
        <w:rPr>
          <w:spacing w:val="-27"/>
          <w:sz w:val="18"/>
        </w:rPr>
        <w:t> </w:t>
      </w:r>
      <w:r>
        <w:rPr>
          <w:sz w:val="18"/>
        </w:rPr>
        <w:t>report.</w:t>
      </w:r>
    </w:p>
    <w:p>
      <w:pPr>
        <w:pStyle w:val="ListParagraph"/>
        <w:numPr>
          <w:ilvl w:val="0"/>
          <w:numId w:val="29"/>
        </w:numPr>
        <w:tabs>
          <w:tab w:pos="642" w:val="left" w:leader="none"/>
        </w:tabs>
        <w:spacing w:line="264" w:lineRule="auto" w:before="0" w:after="0"/>
        <w:ind w:left="641" w:right="880" w:hanging="341"/>
        <w:jc w:val="left"/>
        <w:rPr>
          <w:sz w:val="18"/>
        </w:rPr>
      </w:pPr>
      <w:r>
        <w:rPr>
          <w:b/>
          <w:sz w:val="18"/>
        </w:rPr>
        <w:t>Limited response to the network survey: </w:t>
      </w:r>
      <w:r>
        <w:rPr>
          <w:sz w:val="18"/>
        </w:rPr>
        <w:t>The network analysis survey was intended to be a mechanism through which relational data on how the system currently collaborates and connects could be collected and used for the network analysis. Due to a lack of respondents from a broad range of stakeholders to the survey, the systems network analysis is limited to the perspectives of DCYJMA and</w:t>
      </w:r>
      <w:r>
        <w:rPr>
          <w:spacing w:val="-8"/>
          <w:sz w:val="18"/>
        </w:rPr>
        <w:t> </w:t>
      </w:r>
      <w:r>
        <w:rPr>
          <w:sz w:val="18"/>
        </w:rPr>
        <w:t>ACCOs.</w:t>
      </w:r>
    </w:p>
    <w:p>
      <w:pPr>
        <w:spacing w:after="0" w:line="264" w:lineRule="auto"/>
        <w:jc w:val="left"/>
        <w:rPr>
          <w:sz w:val="18"/>
        </w:rPr>
        <w:sectPr>
          <w:pgSz w:w="11910" w:h="16840"/>
          <w:pgMar w:header="650" w:footer="420" w:top="1340" w:bottom="620" w:left="1140" w:right="700"/>
        </w:sectPr>
      </w:pPr>
    </w:p>
    <w:p>
      <w:pPr>
        <w:pStyle w:val="ListParagraph"/>
        <w:numPr>
          <w:ilvl w:val="0"/>
          <w:numId w:val="24"/>
        </w:numPr>
        <w:tabs>
          <w:tab w:pos="1094" w:val="left" w:leader="none"/>
          <w:tab w:pos="1095" w:val="left" w:leader="none"/>
        </w:tabs>
        <w:spacing w:line="240" w:lineRule="auto" w:before="90" w:after="0"/>
        <w:ind w:left="1094" w:right="0" w:hanging="795"/>
        <w:jc w:val="left"/>
        <w:rPr>
          <w:i/>
          <w:sz w:val="60"/>
        </w:rPr>
      </w:pPr>
      <w:bookmarkStart w:name="_bookmark43" w:id="69"/>
      <w:bookmarkEnd w:id="69"/>
      <w:r>
        <w:rPr/>
      </w:r>
      <w:bookmarkStart w:name="_bookmark43" w:id="70"/>
      <w:bookmarkEnd w:id="70"/>
      <w:r>
        <w:rPr>
          <w:sz w:val="60"/>
        </w:rPr>
        <w:t>Def</w:t>
      </w:r>
      <w:r>
        <w:rPr>
          <w:sz w:val="60"/>
        </w:rPr>
        <w:t>ining the </w:t>
      </w:r>
      <w:r>
        <w:rPr>
          <w:i/>
          <w:sz w:val="60"/>
        </w:rPr>
        <w:t>Our</w:t>
      </w:r>
      <w:r>
        <w:rPr>
          <w:i/>
          <w:spacing w:val="-5"/>
          <w:sz w:val="60"/>
        </w:rPr>
        <w:t> </w:t>
      </w:r>
      <w:r>
        <w:rPr>
          <w:i/>
          <w:sz w:val="60"/>
        </w:rPr>
        <w:t>Way</w:t>
      </w:r>
    </w:p>
    <w:p>
      <w:pPr>
        <w:pStyle w:val="Heading1"/>
        <w:spacing w:before="0"/>
        <w:ind w:left="1094"/>
      </w:pPr>
      <w:r>
        <w:rPr/>
        <w:t>system</w:t>
      </w:r>
    </w:p>
    <w:p>
      <w:pPr>
        <w:spacing w:line="264" w:lineRule="auto" w:before="500"/>
        <w:ind w:left="300" w:right="757" w:firstLine="0"/>
        <w:jc w:val="left"/>
        <w:rPr>
          <w:i/>
          <w:sz w:val="18"/>
        </w:rPr>
      </w:pPr>
      <w:r>
        <w:rPr>
          <w:i/>
          <w:sz w:val="18"/>
        </w:rPr>
        <w:t>This section of the report outlines the Our Way system, the degree of awareness and alignment to </w:t>
      </w:r>
      <w:r>
        <w:rPr>
          <w:i/>
          <w:sz w:val="18"/>
        </w:rPr>
        <w:t>the strategy’s vision, actions and changes to date and the extent to which stakeholders collaborate to achieve shared goals.</w:t>
      </w:r>
    </w:p>
    <w:p>
      <w:pPr>
        <w:pStyle w:val="Heading4"/>
        <w:spacing w:before="166"/>
      </w:pPr>
      <w:r>
        <w:rPr/>
        <w:pict>
          <v:shape style="position:absolute;margin-left:72.024002pt;margin-top:7.268332pt;width:455.15pt;height:534.7pt;mso-position-horizontal-relative:page;mso-position-vertical-relative:paragraph;z-index:-258154496" coordorigin="1440,145" coordsize="9103,10694" path="m10543,7068l1440,7068,1440,7309,1440,7549,1440,7789,1440,8029,1440,8269,1440,8509,1440,8749,1440,8989,1440,9229,1440,9639,1440,9879,1440,10119,1440,10359,1440,10359,1440,10599,1440,10839,10543,10839,10543,10599,10543,10359,10543,10359,10543,10119,10543,9879,10543,9639,10543,9229,10543,8989,10543,8749,10543,8509,10543,8269,10543,8029,10543,7789,10543,7549,10543,7309,10543,7068m10543,556l1440,556,1440,967,1440,1207,1440,1447,1440,1687,1440,1927,1440,2167,1440,2407,1440,2647,1440,2887,1440,3127,1440,3367,1440,3607,1440,3847,1440,3847,1440,4087,1440,4498,1440,4738,1440,4978,1440,5218,1440,5458,1440,5698,1440,5938,1440,6178,1440,6418,1440,6828,1440,7068,10543,7068,10543,6828,10543,6418,10543,6178,10543,5938,10543,5698,10543,5458,10543,5218,10543,4978,10543,4738,10543,4498,10543,4087,10543,3847,10543,3847,10543,3607,10543,3367,10543,3127,10543,2887,10543,2647,10543,2407,10543,2167,10543,1927,10543,1687,10543,1447,10543,1207,10543,967,10543,556m10543,145l1440,145,1440,556,10543,556,10543,145e" filled="true" fillcolor="#dfeff8" stroked="false">
            <v:path arrowok="t"/>
            <v:fill type="solid"/>
            <w10:wrap type="none"/>
          </v:shape>
        </w:pict>
      </w:r>
      <w:r>
        <w:rPr/>
        <w:t>Key findings</w:t>
      </w:r>
    </w:p>
    <w:p>
      <w:pPr>
        <w:spacing w:before="192"/>
        <w:ind w:left="300" w:right="0" w:firstLine="0"/>
        <w:jc w:val="left"/>
        <w:rPr>
          <w:b/>
          <w:sz w:val="18"/>
        </w:rPr>
      </w:pPr>
      <w:r>
        <w:rPr>
          <w:b/>
          <w:sz w:val="18"/>
        </w:rPr>
        <w:t>The </w:t>
      </w:r>
      <w:r>
        <w:rPr>
          <w:b/>
          <w:i/>
          <w:sz w:val="18"/>
        </w:rPr>
        <w:t>Our Way </w:t>
      </w:r>
      <w:r>
        <w:rPr>
          <w:b/>
          <w:sz w:val="18"/>
        </w:rPr>
        <w:t>system’s boundary and stakeholders</w:t>
      </w:r>
    </w:p>
    <w:p>
      <w:pPr>
        <w:pStyle w:val="ListParagraph"/>
        <w:numPr>
          <w:ilvl w:val="0"/>
          <w:numId w:val="30"/>
        </w:numPr>
        <w:tabs>
          <w:tab w:pos="661" w:val="left" w:leader="none"/>
        </w:tabs>
        <w:spacing w:line="240" w:lineRule="auto" w:before="192" w:after="0"/>
        <w:ind w:left="660" w:right="0" w:hanging="361"/>
        <w:jc w:val="left"/>
        <w:rPr>
          <w:i/>
          <w:sz w:val="18"/>
        </w:rPr>
      </w:pPr>
      <w:r>
        <w:rPr>
          <w:sz w:val="18"/>
        </w:rPr>
        <w:t>Aboriginal and Torres Strait Islander children and young people are the heart of the </w:t>
      </w:r>
      <w:r>
        <w:rPr>
          <w:i/>
          <w:sz w:val="18"/>
        </w:rPr>
        <w:t>Our</w:t>
      </w:r>
      <w:r>
        <w:rPr>
          <w:i/>
          <w:spacing w:val="-21"/>
          <w:sz w:val="18"/>
        </w:rPr>
        <w:t> </w:t>
      </w:r>
      <w:r>
        <w:rPr>
          <w:i/>
          <w:sz w:val="18"/>
        </w:rPr>
        <w:t>Way</w:t>
      </w:r>
    </w:p>
    <w:p>
      <w:pPr>
        <w:pStyle w:val="BodyText"/>
        <w:spacing w:before="21"/>
        <w:ind w:left="660"/>
      </w:pPr>
      <w:r>
        <w:rPr/>
        <w:t>system and must be central to decision making.</w:t>
      </w:r>
    </w:p>
    <w:p>
      <w:pPr>
        <w:pStyle w:val="ListParagraph"/>
        <w:numPr>
          <w:ilvl w:val="0"/>
          <w:numId w:val="30"/>
        </w:numPr>
        <w:tabs>
          <w:tab w:pos="661" w:val="left" w:leader="none"/>
        </w:tabs>
        <w:spacing w:line="264" w:lineRule="auto" w:before="21" w:after="0"/>
        <w:ind w:left="660" w:right="677" w:hanging="360"/>
        <w:jc w:val="left"/>
        <w:rPr>
          <w:sz w:val="18"/>
        </w:rPr>
      </w:pPr>
      <w:r>
        <w:rPr>
          <w:sz w:val="18"/>
        </w:rPr>
        <w:t>The </w:t>
      </w:r>
      <w:r>
        <w:rPr>
          <w:i/>
          <w:sz w:val="18"/>
        </w:rPr>
        <w:t>Our Way </w:t>
      </w:r>
      <w:r>
        <w:rPr>
          <w:sz w:val="18"/>
        </w:rPr>
        <w:t>system consists of stakeholder groups who collectively have a shared responsibility to achieve </w:t>
      </w:r>
      <w:r>
        <w:rPr>
          <w:i/>
          <w:sz w:val="18"/>
        </w:rPr>
        <w:t>Our Way</w:t>
      </w:r>
      <w:r>
        <w:rPr>
          <w:sz w:val="18"/>
        </w:rPr>
        <w:t>’s objectives. These groups include children and young people, the community, the sector, the corporate sector, ACCOs and both federal and state government stakeholders.</w:t>
      </w:r>
    </w:p>
    <w:p>
      <w:pPr>
        <w:pStyle w:val="ListParagraph"/>
        <w:numPr>
          <w:ilvl w:val="0"/>
          <w:numId w:val="30"/>
        </w:numPr>
        <w:tabs>
          <w:tab w:pos="661" w:val="left" w:leader="none"/>
        </w:tabs>
        <w:spacing w:line="264" w:lineRule="auto" w:before="0" w:after="0"/>
        <w:ind w:left="660" w:right="859" w:hanging="360"/>
        <w:jc w:val="left"/>
        <w:rPr>
          <w:sz w:val="18"/>
        </w:rPr>
      </w:pPr>
      <w:r>
        <w:rPr>
          <w:sz w:val="18"/>
        </w:rPr>
        <w:t>Other policy work at a state and federal level - particularly the National Agreement on Closing Gap - concurrently drive the work of stakeholders within the </w:t>
      </w:r>
      <w:r>
        <w:rPr>
          <w:i/>
          <w:sz w:val="18"/>
        </w:rPr>
        <w:t>Our Way</w:t>
      </w:r>
      <w:r>
        <w:rPr>
          <w:i/>
          <w:spacing w:val="-17"/>
          <w:sz w:val="18"/>
        </w:rPr>
        <w:t> </w:t>
      </w:r>
      <w:r>
        <w:rPr>
          <w:sz w:val="18"/>
        </w:rPr>
        <w:t>system.</w:t>
      </w:r>
    </w:p>
    <w:p>
      <w:pPr>
        <w:pStyle w:val="ListParagraph"/>
        <w:numPr>
          <w:ilvl w:val="0"/>
          <w:numId w:val="30"/>
        </w:numPr>
        <w:tabs>
          <w:tab w:pos="661" w:val="left" w:leader="none"/>
        </w:tabs>
        <w:spacing w:line="264" w:lineRule="auto" w:before="0" w:after="0"/>
        <w:ind w:left="660" w:right="915" w:hanging="360"/>
        <w:jc w:val="left"/>
        <w:rPr>
          <w:sz w:val="18"/>
        </w:rPr>
      </w:pPr>
      <w:r>
        <w:rPr>
          <w:sz w:val="18"/>
        </w:rPr>
        <w:t>Queensland government agencies are also implementing other strategies to improve the outcomes of Aboriginal and Torres Strait Islander children. Thus far, </w:t>
      </w:r>
      <w:r>
        <w:rPr>
          <w:i/>
          <w:sz w:val="18"/>
        </w:rPr>
        <w:t>Our Way </w:t>
      </w:r>
      <w:r>
        <w:rPr>
          <w:sz w:val="18"/>
        </w:rPr>
        <w:t>was said to not be a key input to the design of these strategies. This represents a missed opportunity for greater alignment of actions among government</w:t>
      </w:r>
      <w:r>
        <w:rPr>
          <w:spacing w:val="-4"/>
          <w:sz w:val="18"/>
        </w:rPr>
        <w:t> </w:t>
      </w:r>
      <w:r>
        <w:rPr>
          <w:sz w:val="18"/>
        </w:rPr>
        <w:t>agencies.</w:t>
      </w:r>
    </w:p>
    <w:p>
      <w:pPr>
        <w:pStyle w:val="BodyText"/>
        <w:rPr>
          <w:sz w:val="11"/>
        </w:rPr>
      </w:pPr>
    </w:p>
    <w:p>
      <w:pPr>
        <w:spacing w:before="100"/>
        <w:ind w:left="300" w:right="0" w:firstLine="0"/>
        <w:jc w:val="left"/>
        <w:rPr>
          <w:b/>
          <w:sz w:val="18"/>
        </w:rPr>
      </w:pPr>
      <w:r>
        <w:rPr>
          <w:b/>
          <w:sz w:val="18"/>
        </w:rPr>
        <w:t>Awareness and alignment to </w:t>
      </w:r>
      <w:r>
        <w:rPr>
          <w:b/>
          <w:i/>
          <w:sz w:val="18"/>
        </w:rPr>
        <w:t>Our Way’s </w:t>
      </w:r>
      <w:r>
        <w:rPr>
          <w:b/>
          <w:sz w:val="18"/>
        </w:rPr>
        <w:t>vision</w:t>
      </w:r>
    </w:p>
    <w:p>
      <w:pPr>
        <w:pStyle w:val="ListParagraph"/>
        <w:numPr>
          <w:ilvl w:val="0"/>
          <w:numId w:val="30"/>
        </w:numPr>
        <w:tabs>
          <w:tab w:pos="661" w:val="left" w:leader="none"/>
        </w:tabs>
        <w:spacing w:line="264" w:lineRule="auto" w:before="192" w:after="0"/>
        <w:ind w:left="660" w:right="1019" w:hanging="360"/>
        <w:jc w:val="left"/>
        <w:rPr>
          <w:sz w:val="18"/>
        </w:rPr>
      </w:pPr>
      <w:r>
        <w:rPr>
          <w:sz w:val="18"/>
        </w:rPr>
        <w:t>While most survey respondents were aware of the intent and vision of </w:t>
      </w:r>
      <w:r>
        <w:rPr>
          <w:i/>
          <w:sz w:val="18"/>
        </w:rPr>
        <w:t>Our Way</w:t>
      </w:r>
      <w:r>
        <w:rPr>
          <w:sz w:val="18"/>
        </w:rPr>
        <w:t>, a smaller proportion of survey respondents agreed that governance structures are clear and that their leaders have vocalised support for </w:t>
      </w:r>
      <w:r>
        <w:rPr>
          <w:i/>
          <w:sz w:val="18"/>
        </w:rPr>
        <w:t>Our</w:t>
      </w:r>
      <w:r>
        <w:rPr>
          <w:i/>
          <w:spacing w:val="-4"/>
          <w:sz w:val="18"/>
        </w:rPr>
        <w:t> </w:t>
      </w:r>
      <w:r>
        <w:rPr>
          <w:i/>
          <w:sz w:val="18"/>
        </w:rPr>
        <w:t>Way</w:t>
      </w:r>
      <w:r>
        <w:rPr>
          <w:sz w:val="18"/>
        </w:rPr>
        <w:t>.</w:t>
      </w:r>
    </w:p>
    <w:p>
      <w:pPr>
        <w:pStyle w:val="ListParagraph"/>
        <w:numPr>
          <w:ilvl w:val="0"/>
          <w:numId w:val="30"/>
        </w:numPr>
        <w:tabs>
          <w:tab w:pos="661" w:val="left" w:leader="none"/>
        </w:tabs>
        <w:spacing w:line="264" w:lineRule="auto" w:before="0" w:after="0"/>
        <w:ind w:left="660" w:right="1063" w:hanging="360"/>
        <w:jc w:val="left"/>
        <w:rPr>
          <w:sz w:val="18"/>
        </w:rPr>
      </w:pPr>
      <w:r>
        <w:rPr>
          <w:sz w:val="18"/>
        </w:rPr>
        <w:t>Some frontline agencies do not consider themselves to be part of the </w:t>
      </w:r>
      <w:r>
        <w:rPr>
          <w:i/>
          <w:sz w:val="18"/>
        </w:rPr>
        <w:t>Our Way </w:t>
      </w:r>
      <w:r>
        <w:rPr>
          <w:sz w:val="18"/>
        </w:rPr>
        <w:t>system. This undermines ongoing efforts for effective cross-system</w:t>
      </w:r>
      <w:r>
        <w:rPr>
          <w:spacing w:val="-9"/>
          <w:sz w:val="18"/>
        </w:rPr>
        <w:t> </w:t>
      </w:r>
      <w:r>
        <w:rPr>
          <w:sz w:val="18"/>
        </w:rPr>
        <w:t>coordination.</w:t>
      </w:r>
    </w:p>
    <w:p>
      <w:pPr>
        <w:pStyle w:val="ListParagraph"/>
        <w:numPr>
          <w:ilvl w:val="0"/>
          <w:numId w:val="30"/>
        </w:numPr>
        <w:tabs>
          <w:tab w:pos="661" w:val="left" w:leader="none"/>
        </w:tabs>
        <w:spacing w:line="264" w:lineRule="auto" w:before="0" w:after="0"/>
        <w:ind w:left="660" w:right="691" w:hanging="360"/>
        <w:jc w:val="left"/>
        <w:rPr>
          <w:sz w:val="18"/>
        </w:rPr>
      </w:pPr>
      <w:r>
        <w:rPr>
          <w:sz w:val="18"/>
        </w:rPr>
        <w:t>Stakeholders working in central policy and strategy positions are more likely to be aware of and aligned to the vision of </w:t>
      </w:r>
      <w:r>
        <w:rPr>
          <w:i/>
          <w:sz w:val="18"/>
        </w:rPr>
        <w:t>Our Way </w:t>
      </w:r>
      <w:r>
        <w:rPr>
          <w:sz w:val="18"/>
        </w:rPr>
        <w:t>than frontline</w:t>
      </w:r>
      <w:r>
        <w:rPr>
          <w:spacing w:val="-9"/>
          <w:sz w:val="18"/>
        </w:rPr>
        <w:t> </w:t>
      </w:r>
      <w:r>
        <w:rPr>
          <w:sz w:val="18"/>
        </w:rPr>
        <w:t>workers.</w:t>
      </w:r>
    </w:p>
    <w:p>
      <w:pPr>
        <w:pStyle w:val="BodyText"/>
        <w:spacing w:before="2"/>
        <w:rPr>
          <w:sz w:val="11"/>
        </w:rPr>
      </w:pPr>
    </w:p>
    <w:p>
      <w:pPr>
        <w:pStyle w:val="Heading4"/>
        <w:spacing w:before="100"/>
      </w:pPr>
      <w:r>
        <w:rPr/>
        <w:t>Actions and changes to date</w:t>
      </w:r>
    </w:p>
    <w:p>
      <w:pPr>
        <w:pStyle w:val="ListParagraph"/>
        <w:numPr>
          <w:ilvl w:val="0"/>
          <w:numId w:val="30"/>
        </w:numPr>
        <w:tabs>
          <w:tab w:pos="661" w:val="left" w:leader="none"/>
        </w:tabs>
        <w:spacing w:line="264" w:lineRule="auto" w:before="192" w:after="0"/>
        <w:ind w:left="660" w:right="716" w:hanging="360"/>
        <w:jc w:val="left"/>
        <w:rPr>
          <w:sz w:val="18"/>
        </w:rPr>
      </w:pPr>
      <w:r>
        <w:rPr>
          <w:sz w:val="18"/>
        </w:rPr>
        <w:t>There is evidence that </w:t>
      </w:r>
      <w:r>
        <w:rPr>
          <w:i/>
          <w:sz w:val="18"/>
        </w:rPr>
        <w:t>Our Way </w:t>
      </w:r>
      <w:r>
        <w:rPr>
          <w:sz w:val="18"/>
        </w:rPr>
        <w:t>has led to some positive changes in the way organisations make decisions, undertake strategic planning and implement processes which support self- determination among Aboriginal and Torres Strait Islander peoples. However, survey responses indicate scope for these changes to take place at a larger scale and across more</w:t>
      </w:r>
      <w:r>
        <w:rPr>
          <w:spacing w:val="-29"/>
          <w:sz w:val="18"/>
        </w:rPr>
        <w:t> </w:t>
      </w:r>
      <w:r>
        <w:rPr>
          <w:sz w:val="18"/>
        </w:rPr>
        <w:t>organisations.</w:t>
      </w:r>
    </w:p>
    <w:p>
      <w:pPr>
        <w:pStyle w:val="ListParagraph"/>
        <w:numPr>
          <w:ilvl w:val="0"/>
          <w:numId w:val="30"/>
        </w:numPr>
        <w:tabs>
          <w:tab w:pos="661" w:val="left" w:leader="none"/>
        </w:tabs>
        <w:spacing w:line="264" w:lineRule="auto" w:before="0" w:after="0"/>
        <w:ind w:left="660" w:right="720" w:hanging="360"/>
        <w:jc w:val="left"/>
        <w:rPr>
          <w:sz w:val="18"/>
        </w:rPr>
      </w:pPr>
      <w:r>
        <w:rPr>
          <w:sz w:val="18"/>
        </w:rPr>
        <w:t>The community-controlled sector is more likely to have observed positive changes in their ways of working compared to those who work in government</w:t>
      </w:r>
      <w:r>
        <w:rPr>
          <w:spacing w:val="-9"/>
          <w:sz w:val="18"/>
        </w:rPr>
        <w:t> </w:t>
      </w:r>
      <w:r>
        <w:rPr>
          <w:sz w:val="18"/>
        </w:rPr>
        <w:t>agencies.</w:t>
      </w:r>
    </w:p>
    <w:p>
      <w:pPr>
        <w:pStyle w:val="ListParagraph"/>
        <w:numPr>
          <w:ilvl w:val="0"/>
          <w:numId w:val="30"/>
        </w:numPr>
        <w:tabs>
          <w:tab w:pos="661" w:val="left" w:leader="none"/>
        </w:tabs>
        <w:spacing w:line="264" w:lineRule="auto" w:before="0" w:after="0"/>
        <w:ind w:left="660" w:right="938" w:hanging="360"/>
        <w:jc w:val="left"/>
        <w:rPr>
          <w:sz w:val="18"/>
        </w:rPr>
      </w:pPr>
      <w:r>
        <w:rPr>
          <w:sz w:val="18"/>
        </w:rPr>
        <w:t>Those who work in strategic and policy development roles were more likely to have changed their current ways of working to be aligned with </w:t>
      </w:r>
      <w:r>
        <w:rPr>
          <w:i/>
          <w:sz w:val="18"/>
        </w:rPr>
        <w:t>Our Way’s </w:t>
      </w:r>
      <w:r>
        <w:rPr>
          <w:sz w:val="18"/>
        </w:rPr>
        <w:t>principles compared to those who deliver frontline</w:t>
      </w:r>
      <w:r>
        <w:rPr>
          <w:spacing w:val="-3"/>
          <w:sz w:val="18"/>
        </w:rPr>
        <w:t> </w:t>
      </w:r>
      <w:r>
        <w:rPr>
          <w:sz w:val="18"/>
        </w:rPr>
        <w:t>services.</w:t>
      </w:r>
    </w:p>
    <w:p>
      <w:pPr>
        <w:pStyle w:val="BodyText"/>
        <w:spacing w:before="1"/>
        <w:rPr>
          <w:sz w:val="11"/>
        </w:rPr>
      </w:pPr>
    </w:p>
    <w:p>
      <w:pPr>
        <w:pStyle w:val="Heading4"/>
        <w:spacing w:before="100"/>
      </w:pPr>
      <w:r>
        <w:rPr/>
        <w:t>How stakeholders work together in the </w:t>
      </w:r>
      <w:r>
        <w:rPr>
          <w:i/>
        </w:rPr>
        <w:t>Our Way</w:t>
      </w:r>
      <w:r>
        <w:rPr>
          <w:i/>
          <w:spacing w:val="-17"/>
        </w:rPr>
        <w:t> </w:t>
      </w:r>
      <w:r>
        <w:rPr/>
        <w:t>system</w:t>
      </w:r>
    </w:p>
    <w:p>
      <w:pPr>
        <w:pStyle w:val="ListParagraph"/>
        <w:numPr>
          <w:ilvl w:val="0"/>
          <w:numId w:val="30"/>
        </w:numPr>
        <w:tabs>
          <w:tab w:pos="661" w:val="left" w:leader="none"/>
        </w:tabs>
        <w:spacing w:line="264" w:lineRule="auto" w:before="191" w:after="0"/>
        <w:ind w:left="660" w:right="893" w:hanging="360"/>
        <w:jc w:val="left"/>
        <w:rPr>
          <w:sz w:val="18"/>
        </w:rPr>
      </w:pPr>
      <w:r>
        <w:rPr>
          <w:sz w:val="18"/>
        </w:rPr>
        <w:t>There have been observed changes in collaborative working approaches between</w:t>
      </w:r>
      <w:r>
        <w:rPr>
          <w:spacing w:val="-39"/>
          <w:sz w:val="18"/>
        </w:rPr>
        <w:t> </w:t>
      </w:r>
      <w:r>
        <w:rPr>
          <w:sz w:val="18"/>
        </w:rPr>
        <w:t>government agencies, service providers and Aboriginal and Torres Strait Islander community representatives to enable the implementation of </w:t>
      </w:r>
      <w:r>
        <w:rPr>
          <w:i/>
          <w:sz w:val="18"/>
        </w:rPr>
        <w:t>Our</w:t>
      </w:r>
      <w:r>
        <w:rPr>
          <w:i/>
          <w:spacing w:val="-9"/>
          <w:sz w:val="18"/>
        </w:rPr>
        <w:t> </w:t>
      </w:r>
      <w:r>
        <w:rPr>
          <w:i/>
          <w:sz w:val="18"/>
        </w:rPr>
        <w:t>Way</w:t>
      </w:r>
      <w:r>
        <w:rPr>
          <w:sz w:val="18"/>
        </w:rPr>
        <w:t>.</w:t>
      </w:r>
    </w:p>
    <w:p>
      <w:pPr>
        <w:pStyle w:val="ListParagraph"/>
        <w:numPr>
          <w:ilvl w:val="0"/>
          <w:numId w:val="30"/>
        </w:numPr>
        <w:tabs>
          <w:tab w:pos="661" w:val="left" w:leader="none"/>
        </w:tabs>
        <w:spacing w:line="264" w:lineRule="auto" w:before="0" w:after="0"/>
        <w:ind w:left="660" w:right="698" w:hanging="360"/>
        <w:jc w:val="left"/>
        <w:rPr>
          <w:sz w:val="18"/>
        </w:rPr>
      </w:pPr>
      <w:r>
        <w:rPr>
          <w:sz w:val="18"/>
        </w:rPr>
        <w:t>Stakeholders mainly collaborate with others by sharing data and/or information, participating in knowledge transfer and/or sharing, and sharing</w:t>
      </w:r>
      <w:r>
        <w:rPr>
          <w:spacing w:val="-11"/>
          <w:sz w:val="18"/>
        </w:rPr>
        <w:t> </w:t>
      </w:r>
      <w:r>
        <w:rPr>
          <w:sz w:val="18"/>
        </w:rPr>
        <w:t>resources.</w:t>
      </w:r>
    </w:p>
    <w:p>
      <w:pPr>
        <w:spacing w:after="0" w:line="264" w:lineRule="auto"/>
        <w:jc w:val="left"/>
        <w:rPr>
          <w:sz w:val="18"/>
        </w:rPr>
        <w:sectPr>
          <w:pgSz w:w="11910" w:h="16840"/>
          <w:pgMar w:header="650" w:footer="420" w:top="1340" w:bottom="620" w:left="1140" w:right="700"/>
        </w:sectPr>
      </w:pPr>
    </w:p>
    <w:p>
      <w:pPr>
        <w:pStyle w:val="BodyText"/>
        <w:spacing w:before="2"/>
        <w:rPr>
          <w:sz w:val="7"/>
        </w:rPr>
      </w:pPr>
    </w:p>
    <w:p>
      <w:pPr>
        <w:pStyle w:val="BodyText"/>
        <w:ind w:left="300"/>
        <w:rPr>
          <w:sz w:val="20"/>
        </w:rPr>
      </w:pPr>
      <w:r>
        <w:rPr>
          <w:sz w:val="20"/>
        </w:rPr>
        <w:pict>
          <v:shape style="width:455.15pt;height:120.05pt;mso-position-horizontal-relative:char;mso-position-vertical-relative:line" type="#_x0000_t202" filled="true" fillcolor="#dfeff8" stroked="false">
            <w10:anchorlock/>
            <v:textbox inset="0,0,0,0">
              <w:txbxContent>
                <w:p>
                  <w:pPr>
                    <w:pStyle w:val="BodyText"/>
                    <w:numPr>
                      <w:ilvl w:val="0"/>
                      <w:numId w:val="31"/>
                    </w:numPr>
                    <w:tabs>
                      <w:tab w:pos="360" w:val="left" w:leader="none"/>
                    </w:tabs>
                    <w:spacing w:line="264" w:lineRule="auto" w:before="21" w:after="0"/>
                    <w:ind w:left="360" w:right="604" w:hanging="360"/>
                    <w:jc w:val="left"/>
                  </w:pPr>
                  <w:r>
                    <w:rPr/>
                    <w:t>Information and data sharing with Aboriginal and Torres Strait Islander organisations and communities continues to be highlighted as a barrier to community-led decision</w:t>
                  </w:r>
                  <w:r>
                    <w:rPr>
                      <w:spacing w:val="-30"/>
                    </w:rPr>
                    <w:t> </w:t>
                  </w:r>
                  <w:r>
                    <w:rPr/>
                    <w:t>making.</w:t>
                  </w:r>
                </w:p>
                <w:p>
                  <w:pPr>
                    <w:pStyle w:val="BodyText"/>
                    <w:numPr>
                      <w:ilvl w:val="0"/>
                      <w:numId w:val="31"/>
                    </w:numPr>
                    <w:tabs>
                      <w:tab w:pos="360" w:val="left" w:leader="none"/>
                    </w:tabs>
                    <w:spacing w:line="264" w:lineRule="auto" w:before="0" w:after="0"/>
                    <w:ind w:left="360" w:right="131" w:hanging="360"/>
                    <w:jc w:val="left"/>
                  </w:pPr>
                  <w:r>
                    <w:rPr/>
                    <w:t>The frequency of collaboration between DCYJMA and other government agencies has remained relatively unchanged since the implementation of the </w:t>
                  </w:r>
                  <w:r>
                    <w:rPr>
                      <w:i/>
                    </w:rPr>
                    <w:t>Our</w:t>
                  </w:r>
                  <w:r>
                    <w:rPr>
                      <w:i/>
                      <w:spacing w:val="-12"/>
                    </w:rPr>
                    <w:t> </w:t>
                  </w:r>
                  <w:r>
                    <w:rPr>
                      <w:i/>
                    </w:rPr>
                    <w:t>Way</w:t>
                  </w:r>
                  <w:r>
                    <w:rPr/>
                    <w:t>.</w:t>
                  </w:r>
                </w:p>
                <w:p>
                  <w:pPr>
                    <w:pStyle w:val="BodyText"/>
                    <w:numPr>
                      <w:ilvl w:val="0"/>
                      <w:numId w:val="31"/>
                    </w:numPr>
                    <w:tabs>
                      <w:tab w:pos="360" w:val="left" w:leader="none"/>
                    </w:tabs>
                    <w:spacing w:line="264" w:lineRule="auto" w:before="0" w:after="0"/>
                    <w:ind w:left="360" w:right="527" w:hanging="360"/>
                    <w:jc w:val="left"/>
                  </w:pPr>
                  <w:r>
                    <w:rPr/>
                    <w:t>However, the frequency of collaboration between DCYJMA and Aboriginal and Torres Strait Islander organisations (through ACCOs and QATSICPP) has notably increased since the implementation of </w:t>
                  </w:r>
                  <w:r>
                    <w:rPr>
                      <w:i/>
                    </w:rPr>
                    <w:t>Our</w:t>
                  </w:r>
                  <w:r>
                    <w:rPr>
                      <w:i/>
                      <w:spacing w:val="-3"/>
                    </w:rPr>
                    <w:t> </w:t>
                  </w:r>
                  <w:r>
                    <w:rPr>
                      <w:i/>
                    </w:rPr>
                    <w:t>Way</w:t>
                  </w:r>
                  <w:r>
                    <w:rPr/>
                    <w:t>.</w:t>
                  </w:r>
                </w:p>
                <w:p>
                  <w:pPr>
                    <w:pStyle w:val="BodyText"/>
                    <w:numPr>
                      <w:ilvl w:val="0"/>
                      <w:numId w:val="31"/>
                    </w:numPr>
                    <w:tabs>
                      <w:tab w:pos="360" w:val="left" w:leader="none"/>
                    </w:tabs>
                    <w:spacing w:line="264" w:lineRule="auto" w:before="0" w:after="0"/>
                    <w:ind w:left="360" w:right="196" w:hanging="360"/>
                    <w:jc w:val="left"/>
                  </w:pPr>
                  <w:r>
                    <w:rPr/>
                    <w:t>There is limited evidence that collaboration between stakeholders since the implementation of </w:t>
                  </w:r>
                  <w:r>
                    <w:rPr>
                      <w:i/>
                    </w:rPr>
                    <w:t>Our Way </w:t>
                  </w:r>
                  <w:r>
                    <w:rPr/>
                    <w:t>has generated more impactful outcomes for Aboriginal and Torres Strait Islander communities.</w:t>
                  </w:r>
                </w:p>
              </w:txbxContent>
            </v:textbox>
            <v:fill type="solid"/>
          </v:shape>
        </w:pict>
      </w:r>
      <w:r>
        <w:rPr>
          <w:sz w:val="20"/>
        </w:rPr>
      </w:r>
    </w:p>
    <w:p>
      <w:pPr>
        <w:pStyle w:val="BodyText"/>
        <w:spacing w:before="3"/>
        <w:rPr>
          <w:sz w:val="10"/>
        </w:rPr>
      </w:pPr>
    </w:p>
    <w:p>
      <w:pPr>
        <w:pStyle w:val="Heading2"/>
        <w:numPr>
          <w:ilvl w:val="1"/>
          <w:numId w:val="32"/>
        </w:numPr>
        <w:tabs>
          <w:tab w:pos="1094" w:val="left" w:leader="none"/>
          <w:tab w:pos="1095" w:val="left" w:leader="none"/>
        </w:tabs>
        <w:spacing w:line="240" w:lineRule="auto" w:before="101" w:after="0"/>
        <w:ind w:left="1094" w:right="0" w:hanging="795"/>
        <w:jc w:val="left"/>
      </w:pPr>
      <w:bookmarkStart w:name="_bookmark44" w:id="71"/>
      <w:bookmarkEnd w:id="71"/>
      <w:r>
        <w:rPr>
          <w:b w:val="0"/>
        </w:rPr>
      </w:r>
      <w:bookmarkStart w:name="_bookmark44" w:id="72"/>
      <w:bookmarkEnd w:id="72"/>
      <w:r>
        <w:rPr>
          <w:color w:val="61B5E4"/>
        </w:rPr>
        <w:t>Co</w:t>
      </w:r>
      <w:r>
        <w:rPr>
          <w:color w:val="61B5E4"/>
        </w:rPr>
        <w:t>ntext</w:t>
      </w:r>
    </w:p>
    <w:p>
      <w:pPr>
        <w:pStyle w:val="BodyText"/>
        <w:spacing w:before="20"/>
        <w:ind w:left="300"/>
      </w:pPr>
      <w:r>
        <w:rPr/>
        <w:t>This chapter provides an assessment of:</w:t>
      </w:r>
    </w:p>
    <w:p>
      <w:pPr>
        <w:pStyle w:val="ListParagraph"/>
        <w:numPr>
          <w:ilvl w:val="0"/>
          <w:numId w:val="21"/>
        </w:numPr>
        <w:tabs>
          <w:tab w:pos="660" w:val="left" w:leader="none"/>
          <w:tab w:pos="661" w:val="left" w:leader="none"/>
        </w:tabs>
        <w:spacing w:line="261" w:lineRule="auto" w:before="192" w:after="0"/>
        <w:ind w:left="660" w:right="1435" w:hanging="360"/>
        <w:jc w:val="left"/>
        <w:rPr>
          <w:sz w:val="18"/>
        </w:rPr>
      </w:pPr>
      <w:r>
        <w:rPr>
          <w:sz w:val="18"/>
        </w:rPr>
        <w:t>The key stakeholders which form the </w:t>
      </w:r>
      <w:r>
        <w:rPr>
          <w:i/>
          <w:sz w:val="18"/>
        </w:rPr>
        <w:t>Our Way </w:t>
      </w:r>
      <w:r>
        <w:rPr>
          <w:sz w:val="18"/>
        </w:rPr>
        <w:t>system and the extent to which they see themselves as part of the </w:t>
      </w:r>
      <w:r>
        <w:rPr>
          <w:i/>
          <w:sz w:val="18"/>
        </w:rPr>
        <w:t>Our Way </w:t>
      </w:r>
      <w:r>
        <w:rPr>
          <w:sz w:val="18"/>
        </w:rPr>
        <w:t>system (see Section</w:t>
      </w:r>
      <w:r>
        <w:rPr>
          <w:spacing w:val="-13"/>
          <w:sz w:val="18"/>
        </w:rPr>
        <w:t> </w:t>
      </w:r>
      <w:hyperlink w:history="true" w:anchor="_bookmark45">
        <w:r>
          <w:rPr>
            <w:sz w:val="18"/>
          </w:rPr>
          <w:t>4.2</w:t>
        </w:r>
      </w:hyperlink>
      <w:r>
        <w:rPr>
          <w:sz w:val="18"/>
        </w:rPr>
        <w:t>)</w:t>
      </w:r>
    </w:p>
    <w:p>
      <w:pPr>
        <w:pStyle w:val="ListParagraph"/>
        <w:numPr>
          <w:ilvl w:val="0"/>
          <w:numId w:val="21"/>
        </w:numPr>
        <w:tabs>
          <w:tab w:pos="660" w:val="left" w:leader="none"/>
          <w:tab w:pos="661" w:val="left" w:leader="none"/>
        </w:tabs>
        <w:spacing w:line="261" w:lineRule="auto" w:before="1" w:after="0"/>
        <w:ind w:left="660" w:right="1076" w:hanging="360"/>
        <w:jc w:val="left"/>
        <w:rPr>
          <w:sz w:val="18"/>
        </w:rPr>
      </w:pPr>
      <w:r>
        <w:rPr>
          <w:sz w:val="18"/>
        </w:rPr>
        <w:t>The extent to which system stakeholders share the vision and align to the objectives of </w:t>
      </w:r>
      <w:r>
        <w:rPr>
          <w:i/>
          <w:sz w:val="18"/>
        </w:rPr>
        <w:t>Our </w:t>
      </w:r>
      <w:r>
        <w:rPr>
          <w:i/>
          <w:sz w:val="18"/>
        </w:rPr>
        <w:t>Way </w:t>
      </w:r>
      <w:r>
        <w:rPr>
          <w:sz w:val="18"/>
        </w:rPr>
        <w:t>(see Section</w:t>
      </w:r>
      <w:r>
        <w:rPr>
          <w:spacing w:val="-2"/>
          <w:sz w:val="18"/>
        </w:rPr>
        <w:t> </w:t>
      </w:r>
      <w:hyperlink w:history="true" w:anchor="_bookmark50">
        <w:r>
          <w:rPr>
            <w:sz w:val="18"/>
          </w:rPr>
          <w:t>4.3</w:t>
        </w:r>
      </w:hyperlink>
      <w:r>
        <w:rPr>
          <w:sz w:val="18"/>
        </w:rPr>
        <w:t>)</w:t>
      </w:r>
    </w:p>
    <w:p>
      <w:pPr>
        <w:pStyle w:val="ListParagraph"/>
        <w:numPr>
          <w:ilvl w:val="0"/>
          <w:numId w:val="21"/>
        </w:numPr>
        <w:tabs>
          <w:tab w:pos="660" w:val="left" w:leader="none"/>
          <w:tab w:pos="661" w:val="left" w:leader="none"/>
        </w:tabs>
        <w:spacing w:line="261" w:lineRule="auto" w:before="1" w:after="0"/>
        <w:ind w:left="660" w:right="1423" w:hanging="360"/>
        <w:jc w:val="left"/>
        <w:rPr>
          <w:sz w:val="18"/>
        </w:rPr>
      </w:pPr>
      <w:r>
        <w:rPr>
          <w:sz w:val="18"/>
        </w:rPr>
        <w:t>The key activities that stakeholders collaborate on to achieve </w:t>
      </w:r>
      <w:r>
        <w:rPr>
          <w:i/>
          <w:sz w:val="18"/>
        </w:rPr>
        <w:t>Our Way</w:t>
      </w:r>
      <w:r>
        <w:rPr>
          <w:sz w:val="18"/>
        </w:rPr>
        <w:t>’s objectives (see Sectio</w:t>
      </w:r>
      <w:hyperlink w:history="true" w:anchor="_bookmark53">
        <w:r>
          <w:rPr>
            <w:sz w:val="18"/>
          </w:rPr>
          <w:t>n</w:t>
        </w:r>
        <w:r>
          <w:rPr>
            <w:spacing w:val="-1"/>
            <w:sz w:val="18"/>
          </w:rPr>
          <w:t> </w:t>
        </w:r>
        <w:r>
          <w:rPr>
            <w:sz w:val="18"/>
          </w:rPr>
          <w:t>4.4</w:t>
        </w:r>
      </w:hyperlink>
      <w:r>
        <w:rPr>
          <w:sz w:val="18"/>
        </w:rPr>
        <w:t>)</w:t>
      </w:r>
    </w:p>
    <w:p>
      <w:pPr>
        <w:pStyle w:val="ListParagraph"/>
        <w:numPr>
          <w:ilvl w:val="0"/>
          <w:numId w:val="21"/>
        </w:numPr>
        <w:tabs>
          <w:tab w:pos="660" w:val="left" w:leader="none"/>
          <w:tab w:pos="661" w:val="left" w:leader="none"/>
        </w:tabs>
        <w:spacing w:line="261" w:lineRule="auto" w:before="1" w:after="0"/>
        <w:ind w:left="660" w:right="821" w:hanging="360"/>
        <w:jc w:val="left"/>
        <w:rPr>
          <w:sz w:val="18"/>
        </w:rPr>
      </w:pPr>
      <w:r>
        <w:rPr>
          <w:sz w:val="18"/>
        </w:rPr>
        <w:t>The extent to which there have been changes to the operating model or ways of working</w:t>
      </w:r>
      <w:r>
        <w:rPr>
          <w:spacing w:val="-35"/>
          <w:sz w:val="18"/>
        </w:rPr>
        <w:t> </w:t>
      </w:r>
      <w:r>
        <w:rPr>
          <w:sz w:val="18"/>
        </w:rPr>
        <w:t>since the commencement of </w:t>
      </w:r>
      <w:r>
        <w:rPr>
          <w:i/>
          <w:sz w:val="18"/>
        </w:rPr>
        <w:t>Our Way </w:t>
      </w:r>
      <w:r>
        <w:rPr>
          <w:sz w:val="18"/>
        </w:rPr>
        <w:t>(see Section</w:t>
      </w:r>
      <w:r>
        <w:rPr>
          <w:spacing w:val="-7"/>
          <w:sz w:val="18"/>
        </w:rPr>
        <w:t> </w:t>
      </w:r>
      <w:hyperlink w:history="true" w:anchor="_bookmark56">
        <w:r>
          <w:rPr>
            <w:sz w:val="18"/>
          </w:rPr>
          <w:t>4.5</w:t>
        </w:r>
      </w:hyperlink>
      <w:r>
        <w:rPr>
          <w:sz w:val="18"/>
        </w:rPr>
        <w:t>).</w:t>
      </w:r>
    </w:p>
    <w:p>
      <w:pPr>
        <w:pStyle w:val="BodyText"/>
        <w:spacing w:before="1"/>
        <w:rPr>
          <w:sz w:val="19"/>
        </w:rPr>
      </w:pPr>
    </w:p>
    <w:p>
      <w:pPr>
        <w:pStyle w:val="Heading2"/>
        <w:numPr>
          <w:ilvl w:val="1"/>
          <w:numId w:val="32"/>
        </w:numPr>
        <w:tabs>
          <w:tab w:pos="1094" w:val="left" w:leader="none"/>
          <w:tab w:pos="1095" w:val="left" w:leader="none"/>
        </w:tabs>
        <w:spacing w:line="240" w:lineRule="auto" w:before="1" w:after="0"/>
        <w:ind w:left="1094" w:right="0" w:hanging="795"/>
        <w:jc w:val="left"/>
      </w:pPr>
      <w:bookmarkStart w:name="_bookmark45" w:id="73"/>
      <w:bookmarkEnd w:id="73"/>
      <w:r>
        <w:rPr>
          <w:b w:val="0"/>
        </w:rPr>
      </w:r>
      <w:bookmarkStart w:name="_bookmark45" w:id="74"/>
      <w:bookmarkEnd w:id="74"/>
      <w:r>
        <w:rPr>
          <w:color w:val="61B5E4"/>
        </w:rPr>
        <w:t>T</w:t>
      </w:r>
      <w:r>
        <w:rPr>
          <w:color w:val="61B5E4"/>
        </w:rPr>
        <w:t>he </w:t>
      </w:r>
      <w:r>
        <w:rPr>
          <w:i/>
          <w:color w:val="61B5E4"/>
        </w:rPr>
        <w:t>Our Way </w:t>
      </w:r>
      <w:r>
        <w:rPr>
          <w:color w:val="61B5E4"/>
        </w:rPr>
        <w:t>system boundary and</w:t>
      </w:r>
      <w:r>
        <w:rPr>
          <w:color w:val="61B5E4"/>
          <w:spacing w:val="-10"/>
        </w:rPr>
        <w:t> </w:t>
      </w:r>
      <w:r>
        <w:rPr>
          <w:color w:val="61B5E4"/>
        </w:rPr>
        <w:t>stakeholders</w:t>
      </w:r>
    </w:p>
    <w:p>
      <w:pPr>
        <w:pStyle w:val="Heading4"/>
        <w:numPr>
          <w:ilvl w:val="2"/>
          <w:numId w:val="32"/>
        </w:numPr>
        <w:tabs>
          <w:tab w:pos="1320" w:val="left" w:leader="none"/>
          <w:tab w:pos="1321" w:val="left" w:leader="none"/>
        </w:tabs>
        <w:spacing w:line="240" w:lineRule="auto" w:before="20" w:after="0"/>
        <w:ind w:left="1320" w:right="0" w:hanging="1021"/>
        <w:jc w:val="left"/>
      </w:pPr>
      <w:bookmarkStart w:name="_bookmark46" w:id="75"/>
      <w:bookmarkEnd w:id="75"/>
      <w:r>
        <w:rPr>
          <w:b w:val="0"/>
        </w:rPr>
      </w:r>
      <w:bookmarkStart w:name="_bookmark46" w:id="76"/>
      <w:bookmarkEnd w:id="76"/>
      <w:r>
        <w:rPr/>
        <w:t>C</w:t>
      </w:r>
      <w:r>
        <w:rPr/>
        <w:t>ontext and</w:t>
      </w:r>
      <w:r>
        <w:rPr>
          <w:spacing w:val="-3"/>
        </w:rPr>
        <w:t> </w:t>
      </w:r>
      <w:r>
        <w:rPr/>
        <w:t>approach</w:t>
      </w:r>
    </w:p>
    <w:p>
      <w:pPr>
        <w:pStyle w:val="BodyText"/>
        <w:spacing w:line="264" w:lineRule="auto" w:before="21"/>
        <w:ind w:left="300" w:right="1118"/>
      </w:pPr>
      <w:r>
        <w:rPr/>
        <w:t>A fundamental component to adopting systems thinking to enact systems change is to first understand the boundary that surrounds the system and the stakeholders that are comprised within it. The </w:t>
      </w:r>
      <w:r>
        <w:rPr>
          <w:i/>
        </w:rPr>
        <w:t>Our Way </w:t>
      </w:r>
      <w:r>
        <w:rPr/>
        <w:t>system was defined during the workshops in collaboration with system stakeholders (e.g., government agencies, peak bodies, ACCOs and frontline service providers).</w:t>
      </w:r>
    </w:p>
    <w:p>
      <w:pPr>
        <w:pStyle w:val="BodyText"/>
        <w:spacing w:before="7"/>
        <w:rPr>
          <w:sz w:val="19"/>
        </w:rPr>
      </w:pPr>
    </w:p>
    <w:p>
      <w:pPr>
        <w:pStyle w:val="ListParagraph"/>
        <w:numPr>
          <w:ilvl w:val="2"/>
          <w:numId w:val="32"/>
        </w:numPr>
        <w:tabs>
          <w:tab w:pos="1320" w:val="left" w:leader="none"/>
          <w:tab w:pos="1321" w:val="left" w:leader="none"/>
        </w:tabs>
        <w:spacing w:line="240" w:lineRule="auto" w:before="0" w:after="0"/>
        <w:ind w:left="1320" w:right="0" w:hanging="1021"/>
        <w:jc w:val="left"/>
        <w:rPr>
          <w:b/>
          <w:sz w:val="18"/>
        </w:rPr>
      </w:pPr>
      <w:bookmarkStart w:name="_bookmark47" w:id="77"/>
      <w:bookmarkEnd w:id="77"/>
      <w:r>
        <w:rPr/>
      </w:r>
      <w:bookmarkStart w:name="_bookmark47" w:id="78"/>
      <w:bookmarkEnd w:id="78"/>
      <w:r>
        <w:rPr>
          <w:b/>
          <w:sz w:val="18"/>
        </w:rPr>
        <w:t>De</w:t>
      </w:r>
      <w:r>
        <w:rPr>
          <w:b/>
          <w:sz w:val="18"/>
        </w:rPr>
        <w:t>scription of the </w:t>
      </w:r>
      <w:r>
        <w:rPr>
          <w:b/>
          <w:i/>
          <w:sz w:val="18"/>
        </w:rPr>
        <w:t>Our Way</w:t>
      </w:r>
      <w:r>
        <w:rPr>
          <w:b/>
          <w:i/>
          <w:spacing w:val="-3"/>
          <w:sz w:val="18"/>
        </w:rPr>
        <w:t> </w:t>
      </w:r>
      <w:r>
        <w:rPr>
          <w:b/>
          <w:sz w:val="18"/>
        </w:rPr>
        <w:t>system</w:t>
      </w:r>
    </w:p>
    <w:p>
      <w:pPr>
        <w:pStyle w:val="Heading4"/>
        <w:spacing w:line="264" w:lineRule="auto" w:before="21"/>
        <w:ind w:right="820"/>
      </w:pPr>
      <w:r>
        <w:rPr>
          <w:color w:val="0096A9"/>
        </w:rPr>
        <w:t>Aboriginal and Torres Strait Islander children and young people are the heart of the </w:t>
      </w:r>
      <w:r>
        <w:rPr>
          <w:i/>
          <w:color w:val="0096A9"/>
        </w:rPr>
        <w:t>Our </w:t>
      </w:r>
      <w:r>
        <w:rPr>
          <w:i/>
          <w:color w:val="0096A9"/>
        </w:rPr>
        <w:t>Way </w:t>
      </w:r>
      <w:r>
        <w:rPr>
          <w:color w:val="0096A9"/>
        </w:rPr>
        <w:t>system and must be central to decision making.</w:t>
      </w:r>
    </w:p>
    <w:p>
      <w:pPr>
        <w:pStyle w:val="BodyText"/>
        <w:spacing w:line="264" w:lineRule="auto" w:before="169"/>
        <w:ind w:left="300" w:right="987"/>
      </w:pPr>
      <w:r>
        <w:rPr>
          <w:i/>
        </w:rPr>
        <w:t>Our Way </w:t>
      </w:r>
      <w:r>
        <w:rPr/>
        <w:t>aims to take a holistic generational approach to improving outcomes for Aboriginal and Torres Strait Islander children and young people. This is achieved by embedding a child-centric approach grounded in culture to underpin interaction with stakeholders involved in engagement, practice and policy. During the workshops, system stakeholders reiterated the importance of putting the needs of children and young people at the centre of all decisions-making. This has been reflected in the </w:t>
      </w:r>
      <w:r>
        <w:rPr>
          <w:i/>
        </w:rPr>
        <w:t>Our Way </w:t>
      </w:r>
      <w:r>
        <w:rPr/>
        <w:t>Theory of Change presented in Sectio</w:t>
      </w:r>
      <w:hyperlink w:history="true" w:anchor="_bookmark82">
        <w:r>
          <w:rPr/>
          <w:t>n 6.1</w:t>
        </w:r>
      </w:hyperlink>
      <w:r>
        <w:rPr/>
        <w:t>.</w:t>
      </w:r>
    </w:p>
    <w:p>
      <w:pPr>
        <w:pStyle w:val="Heading4"/>
        <w:spacing w:line="264" w:lineRule="auto" w:before="167"/>
        <w:ind w:right="802"/>
      </w:pPr>
      <w:r>
        <w:rPr>
          <w:color w:val="0096A9"/>
        </w:rPr>
        <w:t>The </w:t>
      </w:r>
      <w:r>
        <w:rPr>
          <w:i/>
          <w:color w:val="0096A9"/>
        </w:rPr>
        <w:t>Our Way </w:t>
      </w:r>
      <w:r>
        <w:rPr>
          <w:color w:val="0096A9"/>
        </w:rPr>
        <w:t>system consists of stakeholder groups who collectively have a shared responsibility to achieve </w:t>
      </w:r>
      <w:r>
        <w:rPr>
          <w:i/>
          <w:color w:val="0096A9"/>
        </w:rPr>
        <w:t>Our Way’s </w:t>
      </w:r>
      <w:r>
        <w:rPr>
          <w:color w:val="0096A9"/>
        </w:rPr>
        <w:t>objectives. These groups include children and young people, the community, the sector, the corporate sector, ACCOs and both federal and state government stakeholders.</w:t>
      </w:r>
    </w:p>
    <w:p>
      <w:pPr>
        <w:pStyle w:val="BodyText"/>
        <w:spacing w:line="264" w:lineRule="auto" w:before="168"/>
        <w:ind w:left="300" w:right="833"/>
      </w:pPr>
      <w:r>
        <w:rPr/>
        <w:t>The system is comprised of six core groups: children and young people, the community, the sector, the corporate sector, ACCOs and both the Australian and Queensland government. Further detail on the six stakeholder groups is provided in </w:t>
      </w:r>
      <w:hyperlink w:history="true" w:anchor="_bookmark48">
        <w:r>
          <w:rPr/>
          <w:t>Table 4.1</w:t>
        </w:r>
      </w:hyperlink>
      <w:r>
        <w:rPr/>
        <w:t>. Within each of these groups are a range of stakeholders as depicted in </w:t>
      </w:r>
      <w:hyperlink w:history="true" w:anchor="_bookmark49">
        <w:r>
          <w:rPr/>
          <w:t>Figure 4.1</w:t>
        </w:r>
      </w:hyperlink>
      <w:r>
        <w:rPr/>
        <w:t>.</w:t>
      </w:r>
    </w:p>
    <w:p>
      <w:pPr>
        <w:spacing w:after="0" w:line="264" w:lineRule="auto"/>
        <w:sectPr>
          <w:pgSz w:w="11910" w:h="16840"/>
          <w:pgMar w:header="650" w:footer="420" w:top="1340" w:bottom="620" w:left="1140" w:right="700"/>
        </w:sectPr>
      </w:pPr>
    </w:p>
    <w:p>
      <w:pPr>
        <w:spacing w:before="121"/>
        <w:ind w:left="300" w:right="0" w:firstLine="0"/>
        <w:jc w:val="left"/>
        <w:rPr>
          <w:sz w:val="17"/>
        </w:rPr>
      </w:pPr>
      <w:bookmarkStart w:name="_bookmark48" w:id="79"/>
      <w:bookmarkEnd w:id="79"/>
      <w:r>
        <w:rPr/>
      </w:r>
      <w:r>
        <w:rPr>
          <w:color w:val="75787A"/>
          <w:sz w:val="17"/>
        </w:rPr>
        <w:t>Table 4.1 Key stakeholder groups in the </w:t>
      </w:r>
      <w:r>
        <w:rPr>
          <w:i/>
          <w:color w:val="75787A"/>
          <w:sz w:val="17"/>
        </w:rPr>
        <w:t>Our Way </w:t>
      </w:r>
      <w:r>
        <w:rPr>
          <w:color w:val="75787A"/>
          <w:sz w:val="17"/>
        </w:rPr>
        <w:t>system</w:t>
      </w:r>
    </w:p>
    <w:p>
      <w:pPr>
        <w:pStyle w:val="BodyText"/>
        <w:spacing w:before="9" w:after="1"/>
        <w:rPr>
          <w:sz w:val="19"/>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8"/>
        <w:gridCol w:w="7214"/>
      </w:tblGrid>
      <w:tr>
        <w:trPr>
          <w:trHeight w:val="522" w:hRule="atLeast"/>
        </w:trPr>
        <w:tc>
          <w:tcPr>
            <w:tcW w:w="1828" w:type="dxa"/>
            <w:tcBorders>
              <w:top w:val="single" w:sz="24" w:space="0" w:color="61B5E4"/>
              <w:bottom w:val="single" w:sz="4" w:space="0" w:color="000000"/>
            </w:tcBorders>
          </w:tcPr>
          <w:p>
            <w:pPr>
              <w:pStyle w:val="TableParagraph"/>
              <w:spacing w:before="90"/>
              <w:ind w:left="71"/>
              <w:rPr>
                <w:sz w:val="17"/>
              </w:rPr>
            </w:pPr>
            <w:r>
              <w:rPr>
                <w:sz w:val="17"/>
              </w:rPr>
              <w:t>Stakeholder group</w:t>
            </w:r>
          </w:p>
        </w:tc>
        <w:tc>
          <w:tcPr>
            <w:tcW w:w="7214" w:type="dxa"/>
            <w:tcBorders>
              <w:top w:val="single" w:sz="24" w:space="0" w:color="61B5E4"/>
              <w:bottom w:val="single" w:sz="4" w:space="0" w:color="000000"/>
            </w:tcBorders>
          </w:tcPr>
          <w:p>
            <w:pPr>
              <w:pStyle w:val="TableParagraph"/>
              <w:spacing w:before="90"/>
              <w:ind w:left="87"/>
              <w:rPr>
                <w:sz w:val="17"/>
              </w:rPr>
            </w:pPr>
            <w:r>
              <w:rPr>
                <w:sz w:val="17"/>
              </w:rPr>
              <w:t>Detail</w:t>
            </w:r>
          </w:p>
        </w:tc>
      </w:tr>
      <w:tr>
        <w:trPr>
          <w:trHeight w:val="1965" w:hRule="atLeast"/>
        </w:trPr>
        <w:tc>
          <w:tcPr>
            <w:tcW w:w="1828" w:type="dxa"/>
            <w:tcBorders>
              <w:top w:val="single" w:sz="4" w:space="0" w:color="000000"/>
              <w:bottom w:val="single" w:sz="4" w:space="0" w:color="000000"/>
            </w:tcBorders>
          </w:tcPr>
          <w:p>
            <w:pPr>
              <w:pStyle w:val="TableParagraph"/>
              <w:spacing w:line="278" w:lineRule="auto" w:before="90"/>
              <w:ind w:left="71" w:right="70"/>
              <w:rPr>
                <w:sz w:val="17"/>
              </w:rPr>
            </w:pPr>
            <w:r>
              <w:rPr>
                <w:sz w:val="17"/>
              </w:rPr>
              <w:t>Children and young people</w:t>
            </w:r>
          </w:p>
        </w:tc>
        <w:tc>
          <w:tcPr>
            <w:tcW w:w="7214" w:type="dxa"/>
            <w:tcBorders>
              <w:top w:val="single" w:sz="4" w:space="0" w:color="000000"/>
              <w:bottom w:val="single" w:sz="4" w:space="0" w:color="000000"/>
            </w:tcBorders>
          </w:tcPr>
          <w:p>
            <w:pPr>
              <w:pStyle w:val="TableParagraph"/>
              <w:spacing w:line="278" w:lineRule="auto" w:before="90"/>
              <w:ind w:left="87" w:right="98"/>
              <w:rPr>
                <w:sz w:val="17"/>
              </w:rPr>
            </w:pPr>
            <w:r>
              <w:rPr>
                <w:sz w:val="17"/>
              </w:rPr>
              <w:t>Aboriginal and Torres Strait Islander children and young people are at the heart of the system. This includes children and young people who are not currently in the child protection system (but are at risk of entering the system), those who are part of the child protection system at present, and those who have left the system (and may be at risk of re-entering). The views and needs of all these children and young people must be central to all decision making (e.g., legislative, policy, service planning and service delivery) if </w:t>
            </w:r>
            <w:r>
              <w:rPr>
                <w:i/>
                <w:sz w:val="17"/>
              </w:rPr>
              <w:t>Our Way </w:t>
            </w:r>
            <w:r>
              <w:rPr>
                <w:sz w:val="17"/>
              </w:rPr>
              <w:t>is to</w:t>
            </w:r>
            <w:r>
              <w:rPr>
                <w:spacing w:val="-24"/>
                <w:sz w:val="17"/>
              </w:rPr>
              <w:t> </w:t>
            </w:r>
            <w:r>
              <w:rPr>
                <w:sz w:val="17"/>
              </w:rPr>
              <w:t>succeed.</w:t>
            </w:r>
          </w:p>
        </w:tc>
      </w:tr>
      <w:tr>
        <w:trPr>
          <w:trHeight w:val="3814" w:hRule="atLeast"/>
        </w:trPr>
        <w:tc>
          <w:tcPr>
            <w:tcW w:w="1828" w:type="dxa"/>
            <w:tcBorders>
              <w:top w:val="single" w:sz="4" w:space="0" w:color="000000"/>
              <w:bottom w:val="single" w:sz="4" w:space="0" w:color="000000"/>
            </w:tcBorders>
          </w:tcPr>
          <w:p>
            <w:pPr>
              <w:pStyle w:val="TableParagraph"/>
              <w:spacing w:before="90"/>
              <w:ind w:left="71"/>
              <w:rPr>
                <w:sz w:val="17"/>
              </w:rPr>
            </w:pPr>
            <w:r>
              <w:rPr>
                <w:sz w:val="17"/>
              </w:rPr>
              <w:t>Community</w:t>
            </w:r>
          </w:p>
        </w:tc>
        <w:tc>
          <w:tcPr>
            <w:tcW w:w="7214" w:type="dxa"/>
            <w:tcBorders>
              <w:top w:val="single" w:sz="4" w:space="0" w:color="000000"/>
              <w:bottom w:val="single" w:sz="4" w:space="0" w:color="000000"/>
            </w:tcBorders>
          </w:tcPr>
          <w:p>
            <w:pPr>
              <w:pStyle w:val="TableParagraph"/>
              <w:spacing w:line="278" w:lineRule="auto" w:before="90"/>
              <w:ind w:left="87" w:right="257"/>
              <w:rPr>
                <w:i/>
                <w:sz w:val="17"/>
              </w:rPr>
            </w:pPr>
            <w:r>
              <w:rPr>
                <w:sz w:val="17"/>
              </w:rPr>
              <w:t>The community is made up of families, parents, carers, kin, elders and community leaders who care for children and young people. These stakeholders are a critical element of the system. As one stakeholder said during the second workshop </w:t>
            </w:r>
            <w:r>
              <w:rPr>
                <w:i/>
                <w:color w:val="85BB24"/>
                <w:sz w:val="17"/>
              </w:rPr>
              <w:t>“no one cares for and protects Aboriginal and Torres Strait Islander</w:t>
            </w:r>
          </w:p>
          <w:p>
            <w:pPr>
              <w:pStyle w:val="TableParagraph"/>
              <w:spacing w:line="278" w:lineRule="auto" w:before="2"/>
              <w:ind w:left="87" w:right="55"/>
              <w:rPr>
                <w:sz w:val="17"/>
              </w:rPr>
            </w:pPr>
            <w:r>
              <w:rPr>
                <w:i/>
                <w:color w:val="85BB24"/>
                <w:sz w:val="17"/>
              </w:rPr>
              <w:t>children like their own mob”</w:t>
            </w:r>
            <w:r>
              <w:rPr>
                <w:sz w:val="17"/>
              </w:rPr>
              <w:t>. Aboriginal and Torres Strait Islander community leaders (Elders and other community representatives) also play a pivotal role in preserving traditional culture, providing guidance on community issues and leading decision making on behalf of the community. Additionally, the Queensland First Children and Families Board is an important community body within the </w:t>
            </w:r>
            <w:r>
              <w:rPr>
                <w:i/>
                <w:sz w:val="17"/>
              </w:rPr>
              <w:t>Our </w:t>
            </w:r>
            <w:r>
              <w:rPr>
                <w:i/>
                <w:sz w:val="17"/>
              </w:rPr>
              <w:t>Way </w:t>
            </w:r>
            <w:r>
              <w:rPr>
                <w:sz w:val="17"/>
              </w:rPr>
              <w:t>system as members provide diverse cultural perspectives that help to shape the implementation of </w:t>
            </w:r>
            <w:r>
              <w:rPr>
                <w:i/>
                <w:sz w:val="17"/>
              </w:rPr>
              <w:t>Our Way</w:t>
            </w:r>
            <w:r>
              <w:rPr>
                <w:sz w:val="17"/>
              </w:rPr>
              <w:t>.</w:t>
            </w:r>
          </w:p>
          <w:p>
            <w:pPr>
              <w:pStyle w:val="TableParagraph"/>
              <w:spacing w:line="278" w:lineRule="auto" w:before="173"/>
              <w:ind w:left="87" w:right="43"/>
              <w:rPr>
                <w:sz w:val="17"/>
              </w:rPr>
            </w:pPr>
            <w:r>
              <w:rPr>
                <w:sz w:val="17"/>
              </w:rPr>
              <w:t>The media is also part of the community stakeholder group as they have influence over the perspectives that broader society form, and of the views that Aboriginal and Torres Strait Islander children and young people form about themselves.</w:t>
            </w:r>
          </w:p>
        </w:tc>
      </w:tr>
      <w:tr>
        <w:trPr>
          <w:trHeight w:val="1485" w:hRule="atLeast"/>
        </w:trPr>
        <w:tc>
          <w:tcPr>
            <w:tcW w:w="1828" w:type="dxa"/>
            <w:tcBorders>
              <w:top w:val="single" w:sz="4" w:space="0" w:color="000000"/>
              <w:bottom w:val="single" w:sz="4" w:space="0" w:color="000000"/>
            </w:tcBorders>
          </w:tcPr>
          <w:p>
            <w:pPr>
              <w:pStyle w:val="TableParagraph"/>
              <w:spacing w:line="278" w:lineRule="auto" w:before="90"/>
              <w:ind w:left="71" w:right="114"/>
              <w:jc w:val="both"/>
              <w:rPr>
                <w:sz w:val="17"/>
              </w:rPr>
            </w:pPr>
            <w:r>
              <w:rPr>
                <w:sz w:val="17"/>
              </w:rPr>
              <w:t>Peak bodies, NGOs and commissioning bodies</w:t>
            </w:r>
          </w:p>
        </w:tc>
        <w:tc>
          <w:tcPr>
            <w:tcW w:w="7214" w:type="dxa"/>
            <w:tcBorders>
              <w:top w:val="single" w:sz="4" w:space="0" w:color="000000"/>
              <w:bottom w:val="single" w:sz="4" w:space="0" w:color="000000"/>
            </w:tcBorders>
          </w:tcPr>
          <w:p>
            <w:pPr>
              <w:pStyle w:val="TableParagraph"/>
              <w:spacing w:line="278" w:lineRule="auto" w:before="90"/>
              <w:ind w:left="87" w:right="149"/>
              <w:rPr>
                <w:sz w:val="17"/>
              </w:rPr>
            </w:pPr>
            <w:r>
              <w:rPr>
                <w:sz w:val="17"/>
              </w:rPr>
              <w:t>This system stakeholder group includes peak bodies such as QATSICPP who support their members to improve outcomes for Aboriginal and Torres Strait Islander children, NGOs who provide services directly to Aboriginal and Torres Strait Islander children, young people and families, and Primary Health Networks who engage with communities to co-design place-based service solutions.</w:t>
            </w:r>
          </w:p>
        </w:tc>
      </w:tr>
      <w:tr>
        <w:trPr>
          <w:trHeight w:val="1963" w:hRule="atLeast"/>
        </w:trPr>
        <w:tc>
          <w:tcPr>
            <w:tcW w:w="1828" w:type="dxa"/>
            <w:tcBorders>
              <w:top w:val="single" w:sz="4" w:space="0" w:color="000000"/>
              <w:bottom w:val="single" w:sz="4" w:space="0" w:color="000000"/>
            </w:tcBorders>
          </w:tcPr>
          <w:p>
            <w:pPr>
              <w:pStyle w:val="TableParagraph"/>
              <w:spacing w:before="90"/>
              <w:ind w:left="71"/>
              <w:rPr>
                <w:sz w:val="17"/>
              </w:rPr>
            </w:pPr>
            <w:r>
              <w:rPr>
                <w:sz w:val="17"/>
              </w:rPr>
              <w:t>Corporate sector</w:t>
            </w:r>
          </w:p>
        </w:tc>
        <w:tc>
          <w:tcPr>
            <w:tcW w:w="7214" w:type="dxa"/>
            <w:tcBorders>
              <w:top w:val="single" w:sz="4" w:space="0" w:color="000000"/>
              <w:bottom w:val="single" w:sz="4" w:space="0" w:color="000000"/>
            </w:tcBorders>
          </w:tcPr>
          <w:p>
            <w:pPr>
              <w:pStyle w:val="TableParagraph"/>
              <w:spacing w:line="278" w:lineRule="auto" w:before="90"/>
              <w:ind w:left="87" w:right="124"/>
              <w:rPr>
                <w:sz w:val="17"/>
              </w:rPr>
            </w:pPr>
            <w:r>
              <w:rPr>
                <w:sz w:val="17"/>
              </w:rPr>
              <w:t>This system stakeholder group includes organisations such as Vocational Training Queensland (VTQ), employers, private industry and philanthropic organisations who can improve outcomes by supporting education, training and employment opportunities for Aboriginal and Torres Strait Islander young people and families. Private corporations are also responsible for fulfilling their corporate social responsibilities, some of which relate to the positive outcomes of Aboriginal and Torres Strait Islander communities.</w:t>
            </w:r>
          </w:p>
        </w:tc>
      </w:tr>
      <w:tr>
        <w:trPr>
          <w:trHeight w:val="1005" w:hRule="atLeast"/>
        </w:trPr>
        <w:tc>
          <w:tcPr>
            <w:tcW w:w="1828" w:type="dxa"/>
            <w:tcBorders>
              <w:top w:val="single" w:sz="4" w:space="0" w:color="000000"/>
              <w:bottom w:val="single" w:sz="4" w:space="0" w:color="000000"/>
            </w:tcBorders>
          </w:tcPr>
          <w:p>
            <w:pPr>
              <w:pStyle w:val="TableParagraph"/>
              <w:spacing w:before="90"/>
              <w:ind w:left="71"/>
              <w:rPr>
                <w:sz w:val="17"/>
              </w:rPr>
            </w:pPr>
            <w:r>
              <w:rPr>
                <w:sz w:val="17"/>
              </w:rPr>
              <w:t>ACCOs</w:t>
            </w:r>
          </w:p>
        </w:tc>
        <w:tc>
          <w:tcPr>
            <w:tcW w:w="7214" w:type="dxa"/>
            <w:tcBorders>
              <w:top w:val="single" w:sz="4" w:space="0" w:color="000000"/>
              <w:bottom w:val="single" w:sz="4" w:space="0" w:color="000000"/>
            </w:tcBorders>
          </w:tcPr>
          <w:p>
            <w:pPr>
              <w:pStyle w:val="TableParagraph"/>
              <w:spacing w:line="278" w:lineRule="auto" w:before="90"/>
              <w:ind w:left="87" w:right="114"/>
              <w:rPr>
                <w:sz w:val="17"/>
              </w:rPr>
            </w:pPr>
            <w:r>
              <w:rPr>
                <w:sz w:val="17"/>
              </w:rPr>
              <w:t>ACCOs are viewed by all system stakeholders as essential to improving outcomes and being best placed to provide services that meet the needs of Aboriginal and Torres Strait Islander children and young people.</w:t>
            </w:r>
          </w:p>
        </w:tc>
      </w:tr>
      <w:tr>
        <w:trPr>
          <w:trHeight w:val="2275" w:hRule="atLeast"/>
        </w:trPr>
        <w:tc>
          <w:tcPr>
            <w:tcW w:w="1828" w:type="dxa"/>
            <w:tcBorders>
              <w:top w:val="single" w:sz="4" w:space="0" w:color="000000"/>
              <w:bottom w:val="single" w:sz="4" w:space="0" w:color="000000"/>
            </w:tcBorders>
          </w:tcPr>
          <w:p>
            <w:pPr>
              <w:pStyle w:val="TableParagraph"/>
              <w:spacing w:before="90"/>
              <w:ind w:left="71"/>
              <w:rPr>
                <w:sz w:val="17"/>
              </w:rPr>
            </w:pPr>
            <w:r>
              <w:rPr>
                <w:sz w:val="17"/>
              </w:rPr>
              <w:t>Government</w:t>
            </w:r>
          </w:p>
        </w:tc>
        <w:tc>
          <w:tcPr>
            <w:tcW w:w="7214" w:type="dxa"/>
            <w:tcBorders>
              <w:top w:val="single" w:sz="4" w:space="0" w:color="000000"/>
              <w:bottom w:val="single" w:sz="4" w:space="0" w:color="000000"/>
            </w:tcBorders>
          </w:tcPr>
          <w:p>
            <w:pPr>
              <w:pStyle w:val="TableParagraph"/>
              <w:spacing w:line="278" w:lineRule="auto" w:before="90"/>
              <w:ind w:left="87" w:right="60"/>
              <w:rPr>
                <w:sz w:val="17"/>
              </w:rPr>
            </w:pPr>
            <w:r>
              <w:rPr>
                <w:sz w:val="17"/>
              </w:rPr>
              <w:t>This system stakeholder group is comprised of state and federal government agencies as well as politicians that should be acting as enablers for the community and the community-controlled sector to lead and drive changes that will transform outcomes for children and young people. This includes DCYJMA who leads the implementation of </w:t>
            </w:r>
            <w:r>
              <w:rPr>
                <w:i/>
                <w:sz w:val="17"/>
              </w:rPr>
              <w:t>Our Way</w:t>
            </w:r>
            <w:r>
              <w:rPr>
                <w:sz w:val="17"/>
              </w:rPr>
              <w:t>, and a range of other Queensland government agencies who have both direct and indirect roles to play in improving outcomes for Aboriginal and Torres Strait Islander children and young people (e.g., DSDSATSIP, DESBT, DoE, QH, DCHDE, DJAG, QPS, Qld</w:t>
            </w:r>
            <w:r>
              <w:rPr>
                <w:spacing w:val="-15"/>
                <w:sz w:val="17"/>
              </w:rPr>
              <w:t> </w:t>
            </w:r>
            <w:r>
              <w:rPr>
                <w:sz w:val="17"/>
              </w:rPr>
              <w:t>Treasury).</w:t>
            </w:r>
          </w:p>
          <w:p>
            <w:pPr>
              <w:pStyle w:val="TableParagraph"/>
              <w:spacing w:before="3"/>
              <w:ind w:left="87"/>
              <w:rPr>
                <w:sz w:val="17"/>
              </w:rPr>
            </w:pPr>
            <w:r>
              <w:rPr>
                <w:sz w:val="17"/>
              </w:rPr>
              <w:t>Stakeholders at the workshops agreed that all agencies, whether</w:t>
            </w:r>
            <w:r>
              <w:rPr>
                <w:spacing w:val="-23"/>
                <w:sz w:val="17"/>
              </w:rPr>
              <w:t> </w:t>
            </w:r>
            <w:r>
              <w:rPr>
                <w:sz w:val="17"/>
              </w:rPr>
              <w:t>system</w:t>
            </w:r>
          </w:p>
        </w:tc>
      </w:tr>
    </w:tbl>
    <w:p>
      <w:pPr>
        <w:spacing w:after="0"/>
        <w:rPr>
          <w:sz w:val="17"/>
        </w:rPr>
        <w:sectPr>
          <w:pgSz w:w="11910" w:h="16840"/>
          <w:pgMar w:header="650" w:footer="420" w:top="1340" w:bottom="620" w:left="1140" w:right="700"/>
        </w:sectPr>
      </w:pPr>
    </w:p>
    <w:p>
      <w:pPr>
        <w:pStyle w:val="BodyText"/>
        <w:spacing w:before="2"/>
        <w:rPr>
          <w:sz w:val="7"/>
        </w:rPr>
      </w:pPr>
    </w:p>
    <w:p>
      <w:pPr>
        <w:pStyle w:val="BodyText"/>
        <w:spacing w:line="20" w:lineRule="exact"/>
        <w:ind w:left="295"/>
        <w:rPr>
          <w:sz w:val="2"/>
        </w:rPr>
      </w:pPr>
      <w:r>
        <w:rPr>
          <w:sz w:val="2"/>
        </w:rPr>
        <w:pict>
          <v:group style="width:451.4pt;height:.5pt;mso-position-horizontal-relative:char;mso-position-vertical-relative:line" coordorigin="0,0" coordsize="9028,10">
            <v:line style="position:absolute" from="0,5" to="1843,5" stroked="true" strokeweight=".48pt" strokecolor="#61b5e4">
              <v:stroke dashstyle="solid"/>
            </v:line>
            <v:rect style="position:absolute;left:1843;top:0;width:10;height:10" filled="true" fillcolor="#61b5e4" stroked="false">
              <v:fill type="solid"/>
            </v:rect>
            <v:line style="position:absolute" from="1853,5" to="9028,5" stroked="true" strokeweight=".48pt" strokecolor="#61b5e4">
              <v:stroke dashstyle="solid"/>
            </v:line>
          </v:group>
        </w:pict>
      </w:r>
      <w:r>
        <w:rPr>
          <w:sz w:val="2"/>
        </w:rPr>
      </w:r>
    </w:p>
    <w:p>
      <w:pPr>
        <w:spacing w:before="81"/>
        <w:ind w:left="2201" w:right="0" w:firstLine="0"/>
        <w:jc w:val="left"/>
        <w:rPr>
          <w:sz w:val="17"/>
        </w:rPr>
      </w:pPr>
      <w:r>
        <w:rPr>
          <w:sz w:val="17"/>
        </w:rPr>
        <w:t>stewards or involved in service delivery, should view themselves as part of the</w:t>
      </w:r>
    </w:p>
    <w:p>
      <w:pPr>
        <w:spacing w:before="34"/>
        <w:ind w:left="2201" w:right="0" w:firstLine="0"/>
        <w:jc w:val="left"/>
        <w:rPr>
          <w:sz w:val="17"/>
        </w:rPr>
      </w:pPr>
      <w:r>
        <w:rPr>
          <w:i/>
          <w:sz w:val="17"/>
        </w:rPr>
        <w:t>Our Way </w:t>
      </w:r>
      <w:r>
        <w:rPr>
          <w:sz w:val="17"/>
        </w:rPr>
        <w:t>system and be making active efforts to support system transformation.</w:t>
      </w:r>
    </w:p>
    <w:p>
      <w:pPr>
        <w:pStyle w:val="BodyText"/>
        <w:spacing w:before="9"/>
        <w:rPr>
          <w:sz w:val="16"/>
        </w:rPr>
      </w:pPr>
    </w:p>
    <w:p>
      <w:pPr>
        <w:spacing w:line="278" w:lineRule="auto" w:before="0"/>
        <w:ind w:left="2201" w:right="1003" w:firstLine="0"/>
        <w:jc w:val="left"/>
        <w:rPr>
          <w:sz w:val="17"/>
        </w:rPr>
      </w:pPr>
      <w:r>
        <w:rPr>
          <w:sz w:val="17"/>
        </w:rPr>
        <w:t>During the workshops, stakeholders also mentioned that federal politics, the National Indigenous Australians Agency (NIAA), Australian Federal Police (AFP), and the National Children’s Commissioner (NCC) are important stakeholders whose work can influence progress towards the </w:t>
      </w:r>
      <w:r>
        <w:rPr>
          <w:i/>
          <w:sz w:val="17"/>
        </w:rPr>
        <w:t>Our Way </w:t>
      </w:r>
      <w:r>
        <w:rPr>
          <w:sz w:val="17"/>
        </w:rPr>
        <w:t>objectives.</w:t>
      </w:r>
    </w:p>
    <w:p>
      <w:pPr>
        <w:pStyle w:val="BodyText"/>
        <w:spacing w:before="11"/>
        <w:rPr>
          <w:sz w:val="12"/>
        </w:rPr>
      </w:pPr>
      <w:r>
        <w:rPr/>
        <w:pict>
          <v:group style="position:absolute;margin-left:71.304001pt;margin-top:9.831474pt;width:452.15pt;height:.5pt;mso-position-horizontal-relative:page;mso-position-vertical-relative:paragraph;z-index:-251539456;mso-wrap-distance-left:0;mso-wrap-distance-right:0" coordorigin="1426,197" coordsize="9043,10">
            <v:line style="position:absolute" from="1426,201" to="3284,201" stroked="true" strokeweight=".48pt" strokecolor="#000000">
              <v:stroke dashstyle="solid"/>
            </v:line>
            <v:rect style="position:absolute;left:3269;top:196;width:10;height:10" filled="true" fillcolor="#000000" stroked="false">
              <v:fill type="solid"/>
            </v:rect>
            <v:line style="position:absolute" from="3279,201" to="10468,201" stroked="true" strokeweight=".48pt" strokecolor="#000000">
              <v:stroke dashstyle="solid"/>
            </v:line>
            <w10:wrap type="topAndBottom"/>
          </v:group>
        </w:pict>
      </w:r>
    </w:p>
    <w:p>
      <w:pPr>
        <w:spacing w:before="16"/>
        <w:ind w:left="300" w:right="0" w:firstLine="0"/>
        <w:jc w:val="left"/>
        <w:rPr>
          <w:sz w:val="16"/>
        </w:rPr>
      </w:pPr>
      <w:r>
        <w:rPr>
          <w:color w:val="75787A"/>
          <w:sz w:val="16"/>
        </w:rPr>
        <w:t>Source: Deloitte Access Economics</w:t>
      </w:r>
    </w:p>
    <w:p>
      <w:pPr>
        <w:pStyle w:val="BodyText"/>
        <w:spacing w:before="6"/>
        <w:rPr>
          <w:sz w:val="16"/>
        </w:rPr>
      </w:pPr>
    </w:p>
    <w:p>
      <w:pPr>
        <w:spacing w:before="1"/>
        <w:ind w:left="316" w:right="0" w:firstLine="0"/>
        <w:jc w:val="left"/>
        <w:rPr>
          <w:sz w:val="17"/>
        </w:rPr>
      </w:pPr>
      <w:r>
        <w:rPr>
          <w:position w:val="-3"/>
        </w:rPr>
        <w:drawing>
          <wp:inline distT="0" distB="0" distL="0" distR="0">
            <wp:extent cx="532618" cy="102770"/>
            <wp:effectExtent l="0" t="0" r="0" b="0"/>
            <wp:docPr id="39" name="image42.png"/>
            <wp:cNvGraphicFramePr>
              <a:graphicFrameLocks noChangeAspect="1"/>
            </wp:cNvGraphicFramePr>
            <a:graphic>
              <a:graphicData uri="http://schemas.openxmlformats.org/drawingml/2006/picture">
                <pic:pic>
                  <pic:nvPicPr>
                    <pic:cNvPr id="40" name="image42.png"/>
                    <pic:cNvPicPr/>
                  </pic:nvPicPr>
                  <pic:blipFill>
                    <a:blip r:embed="rId66" cstate="print"/>
                    <a:stretch>
                      <a:fillRect/>
                    </a:stretch>
                  </pic:blipFill>
                  <pic:spPr>
                    <a:xfrm>
                      <a:off x="0" y="0"/>
                      <a:ext cx="532618" cy="102770"/>
                    </a:xfrm>
                    <a:prstGeom prst="rect">
                      <a:avLst/>
                    </a:prstGeom>
                  </pic:spPr>
                </pic:pic>
              </a:graphicData>
            </a:graphic>
          </wp:inline>
        </w:drawing>
      </w:r>
      <w:r>
        <w:rPr>
          <w:position w:val="-3"/>
        </w:rPr>
      </w:r>
      <w:r>
        <w:rPr>
          <w:rFonts w:ascii="Times New Roman"/>
          <w:spacing w:val="23"/>
          <w:sz w:val="20"/>
        </w:rPr>
        <w:t> </w:t>
      </w:r>
      <w:bookmarkStart w:name="_bookmark49" w:id="80"/>
      <w:bookmarkEnd w:id="80"/>
      <w:r>
        <w:rPr>
          <w:rFonts w:ascii="Times New Roman"/>
          <w:spacing w:val="23"/>
          <w:sz w:val="20"/>
        </w:rPr>
      </w:r>
      <w:r>
        <w:rPr>
          <w:i/>
          <w:color w:val="75787A"/>
          <w:sz w:val="17"/>
        </w:rPr>
        <w:t>Our Way </w:t>
      </w:r>
      <w:r>
        <w:rPr>
          <w:color w:val="75787A"/>
          <w:sz w:val="17"/>
        </w:rPr>
        <w:t>system</w:t>
      </w:r>
      <w:r>
        <w:rPr>
          <w:color w:val="75787A"/>
          <w:spacing w:val="-1"/>
          <w:sz w:val="17"/>
        </w:rPr>
        <w:t> </w:t>
      </w:r>
      <w:r>
        <w:rPr>
          <w:color w:val="75787A"/>
          <w:sz w:val="17"/>
        </w:rPr>
        <w:t>stakeholders</w:t>
      </w:r>
    </w:p>
    <w:p>
      <w:pPr>
        <w:pStyle w:val="BodyText"/>
        <w:spacing w:before="6"/>
        <w:rPr>
          <w:sz w:val="10"/>
        </w:rPr>
      </w:pPr>
      <w:r>
        <w:rPr/>
        <w:drawing>
          <wp:anchor distT="0" distB="0" distL="0" distR="0" allowOverlap="1" layoutInCell="1" locked="0" behindDoc="0" simplePos="0" relativeHeight="117">
            <wp:simplePos x="0" y="0"/>
            <wp:positionH relativeFrom="page">
              <wp:posOffset>914400</wp:posOffset>
            </wp:positionH>
            <wp:positionV relativeFrom="paragraph">
              <wp:posOffset>106160</wp:posOffset>
            </wp:positionV>
            <wp:extent cx="5638515" cy="5376672"/>
            <wp:effectExtent l="0" t="0" r="0" b="0"/>
            <wp:wrapTopAndBottom/>
            <wp:docPr id="41" name="image43.png"/>
            <wp:cNvGraphicFramePr>
              <a:graphicFrameLocks noChangeAspect="1"/>
            </wp:cNvGraphicFramePr>
            <a:graphic>
              <a:graphicData uri="http://schemas.openxmlformats.org/drawingml/2006/picture">
                <pic:pic>
                  <pic:nvPicPr>
                    <pic:cNvPr id="42" name="image43.png"/>
                    <pic:cNvPicPr/>
                  </pic:nvPicPr>
                  <pic:blipFill>
                    <a:blip r:embed="rId67" cstate="print"/>
                    <a:stretch>
                      <a:fillRect/>
                    </a:stretch>
                  </pic:blipFill>
                  <pic:spPr>
                    <a:xfrm>
                      <a:off x="0" y="0"/>
                      <a:ext cx="5638515" cy="5376672"/>
                    </a:xfrm>
                    <a:prstGeom prst="rect">
                      <a:avLst/>
                    </a:prstGeom>
                  </pic:spPr>
                </pic:pic>
              </a:graphicData>
            </a:graphic>
          </wp:anchor>
        </w:drawing>
      </w:r>
    </w:p>
    <w:p>
      <w:pPr>
        <w:pStyle w:val="BodyText"/>
        <w:spacing w:before="6"/>
        <w:rPr>
          <w:sz w:val="15"/>
        </w:rPr>
      </w:pPr>
    </w:p>
    <w:p>
      <w:pPr>
        <w:spacing w:before="0"/>
        <w:ind w:left="300" w:right="0" w:firstLine="0"/>
        <w:jc w:val="left"/>
        <w:rPr>
          <w:sz w:val="16"/>
        </w:rPr>
      </w:pPr>
      <w:r>
        <w:rPr>
          <w:color w:val="75787A"/>
          <w:sz w:val="16"/>
        </w:rPr>
        <w:t>Source: Deloitte Access Economics analysis of </w:t>
      </w:r>
      <w:r>
        <w:rPr>
          <w:i/>
          <w:color w:val="75787A"/>
          <w:sz w:val="16"/>
        </w:rPr>
        <w:t>Our Way </w:t>
      </w:r>
      <w:r>
        <w:rPr>
          <w:color w:val="75787A"/>
          <w:sz w:val="16"/>
        </w:rPr>
        <w:t>workshop feedback</w:t>
      </w:r>
    </w:p>
    <w:p>
      <w:pPr>
        <w:spacing w:line="295" w:lineRule="auto" w:before="45"/>
        <w:ind w:left="300" w:right="1208" w:firstLine="0"/>
        <w:jc w:val="left"/>
        <w:rPr>
          <w:sz w:val="16"/>
        </w:rPr>
      </w:pPr>
      <w:r>
        <w:rPr>
          <w:color w:val="75787A"/>
          <w:sz w:val="16"/>
        </w:rPr>
        <w:t>Note: QFCC has been visually placed outside of the circle to reflect their independent oversight role in the Queensland child protection system</w:t>
      </w:r>
    </w:p>
    <w:p>
      <w:pPr>
        <w:pStyle w:val="BodyText"/>
        <w:rPr>
          <w:sz w:val="20"/>
        </w:rPr>
      </w:pPr>
    </w:p>
    <w:p>
      <w:pPr>
        <w:pStyle w:val="Heading4"/>
        <w:spacing w:line="264" w:lineRule="auto" w:before="145"/>
        <w:ind w:right="1070"/>
      </w:pPr>
      <w:r>
        <w:rPr>
          <w:color w:val="0096A9"/>
        </w:rPr>
        <w:t>Other policy work at a national level – particularly the National Agreement on Closing the Gap - concurrently drives the work of stakeholders within the </w:t>
      </w:r>
      <w:r>
        <w:rPr>
          <w:i/>
          <w:color w:val="0096A9"/>
        </w:rPr>
        <w:t>Our Way</w:t>
      </w:r>
      <w:r>
        <w:rPr>
          <w:i/>
          <w:color w:val="0096A9"/>
          <w:spacing w:val="-17"/>
        </w:rPr>
        <w:t> </w:t>
      </w:r>
      <w:r>
        <w:rPr>
          <w:color w:val="0096A9"/>
        </w:rPr>
        <w:t>system.</w:t>
      </w:r>
    </w:p>
    <w:p>
      <w:pPr>
        <w:pStyle w:val="BodyText"/>
        <w:spacing w:line="264" w:lineRule="auto" w:before="169"/>
        <w:ind w:left="300" w:right="996"/>
        <w:jc w:val="both"/>
      </w:pPr>
      <w:r>
        <w:rPr/>
        <w:t>While </w:t>
      </w:r>
      <w:r>
        <w:rPr>
          <w:i/>
        </w:rPr>
        <w:t>Our Way </w:t>
      </w:r>
      <w:r>
        <w:rPr/>
        <w:t>seeks to improve outcomes for Aboriginal and Torres Strait Islander children and young people in Queensland, other national and jurisdictional work intersects with </w:t>
      </w:r>
      <w:r>
        <w:rPr>
          <w:i/>
        </w:rPr>
        <w:t>Our Way </w:t>
      </w:r>
      <w:r>
        <w:rPr/>
        <w:t>(see Sectio</w:t>
      </w:r>
      <w:hyperlink w:history="true" w:anchor="_bookmark20">
        <w:r>
          <w:rPr/>
          <w:t>n 2.3</w:t>
        </w:r>
      </w:hyperlink>
      <w:r>
        <w:rPr/>
        <w:t>). During the workshops and stakeholder interviews, the National Agreement</w:t>
      </w:r>
      <w:r>
        <w:rPr>
          <w:spacing w:val="-28"/>
        </w:rPr>
        <w:t> </w:t>
      </w:r>
      <w:r>
        <w:rPr/>
        <w:t>was</w:t>
      </w:r>
    </w:p>
    <w:p>
      <w:pPr>
        <w:spacing w:after="0" w:line="264" w:lineRule="auto"/>
        <w:jc w:val="both"/>
        <w:sectPr>
          <w:pgSz w:w="11910" w:h="16840"/>
          <w:pgMar w:header="650" w:footer="420" w:top="1340" w:bottom="620" w:left="1140" w:right="700"/>
        </w:sectPr>
      </w:pPr>
    </w:p>
    <w:p>
      <w:pPr>
        <w:pStyle w:val="BodyText"/>
        <w:spacing w:line="264" w:lineRule="auto" w:before="109"/>
        <w:ind w:left="300" w:right="794"/>
      </w:pPr>
      <w:r>
        <w:rPr/>
        <w:t>commonly cited as a policy that was well aligned with </w:t>
      </w:r>
      <w:r>
        <w:rPr>
          <w:i/>
        </w:rPr>
        <w:t>Our Way. </w:t>
      </w:r>
      <w:r>
        <w:rPr/>
        <w:t>Stakeholders mentioned that their work towards meeting the Closing the Gap targets was also perceived to be a measure of their progress towards the objectives of </w:t>
      </w:r>
      <w:r>
        <w:rPr>
          <w:i/>
        </w:rPr>
        <w:t>Our Way</w:t>
      </w:r>
      <w:r>
        <w:rPr/>
        <w:t>. Some stakeholders identified an opportunity to align Closing the Gap’s Priority Reform areas with </w:t>
      </w:r>
      <w:r>
        <w:rPr>
          <w:i/>
        </w:rPr>
        <w:t>Our Way </w:t>
      </w:r>
      <w:r>
        <w:rPr/>
        <w:t>in the future. This was taken into consideration in the design of the </w:t>
      </w:r>
      <w:r>
        <w:rPr>
          <w:i/>
        </w:rPr>
        <w:t>Our Way </w:t>
      </w:r>
      <w:r>
        <w:rPr/>
        <w:t>Theory of Change (Sectio</w:t>
      </w:r>
      <w:hyperlink w:history="true" w:anchor="_bookmark82">
        <w:r>
          <w:rPr/>
          <w:t>n 6.1</w:t>
        </w:r>
      </w:hyperlink>
      <w:r>
        <w:rPr/>
        <w:t>).</w:t>
      </w:r>
    </w:p>
    <w:p>
      <w:pPr>
        <w:pStyle w:val="Heading4"/>
        <w:spacing w:line="264" w:lineRule="auto" w:before="167"/>
        <w:ind w:right="776"/>
      </w:pPr>
      <w:r>
        <w:rPr>
          <w:color w:val="0096A9"/>
        </w:rPr>
        <w:t>Queensland government agencies are also implementing other strategies to improve the outcomes of Aboriginal and Torres Strait Islander children. Thus far, </w:t>
      </w:r>
      <w:r>
        <w:rPr>
          <w:i/>
          <w:color w:val="0096A9"/>
        </w:rPr>
        <w:t>Our Way </w:t>
      </w:r>
      <w:r>
        <w:rPr>
          <w:color w:val="0096A9"/>
        </w:rPr>
        <w:t>was said to not be a key input to the design of these strategies. This represents a missed opportunity for greater alignment of actions among government agencies.</w:t>
      </w:r>
    </w:p>
    <w:p>
      <w:pPr>
        <w:pStyle w:val="BodyText"/>
        <w:spacing w:line="264" w:lineRule="auto" w:before="168"/>
        <w:ind w:left="300" w:right="803"/>
      </w:pPr>
      <w:r>
        <w:rPr/>
        <w:t>Frontline agencies provided examples of strategies and initiatives that are related to the outcomes of Aboriginal and Torres Strait Islander children</w:t>
      </w:r>
      <w:r>
        <w:rPr>
          <w:i/>
        </w:rPr>
        <w:t>. </w:t>
      </w:r>
      <w:r>
        <w:rPr/>
        <w:t>For example:</w:t>
      </w:r>
    </w:p>
    <w:p>
      <w:pPr>
        <w:pStyle w:val="ListParagraph"/>
        <w:numPr>
          <w:ilvl w:val="0"/>
          <w:numId w:val="33"/>
        </w:numPr>
        <w:tabs>
          <w:tab w:pos="528" w:val="left" w:leader="none"/>
          <w:tab w:pos="529" w:val="left" w:leader="none"/>
        </w:tabs>
        <w:spacing w:line="240" w:lineRule="auto" w:before="147" w:after="0"/>
        <w:ind w:left="528" w:right="1022" w:hanging="360"/>
        <w:jc w:val="left"/>
        <w:rPr>
          <w:i/>
          <w:sz w:val="18"/>
        </w:rPr>
      </w:pPr>
      <w:r>
        <w:rPr>
          <w:sz w:val="18"/>
        </w:rPr>
        <w:t>DoE has developed a community-driven approach to education for Aboriginal and Torres Strait Islander communities in three regions via co-design and place-based consultations. During this process, DoE worked with parents, Elders and ACCOs to design a school environment and curriculum that meets the needs of Aboriginal and Torres Strait Islander children. This entails a shift in power from school principals to the community. DoE has also recently refreshed the “</w:t>
      </w:r>
      <w:r>
        <w:rPr>
          <w:i/>
          <w:sz w:val="18"/>
        </w:rPr>
        <w:t>Every Aboriginal and Torres Strait Islander Student Succeeding</w:t>
      </w:r>
      <w:r>
        <w:rPr>
          <w:sz w:val="18"/>
        </w:rPr>
        <w:t>” strategy. This strategy sets the direction on how to improve outcomes for Aboriginal and Torres Strait Islander students in state schools and importantly recognises the importance of connection to culture. The element of co-design is reflected in the following quote: </w:t>
      </w:r>
      <w:r>
        <w:rPr>
          <w:i/>
          <w:color w:val="85BB24"/>
          <w:sz w:val="18"/>
        </w:rPr>
        <w:t>“We </w:t>
      </w:r>
      <w:r>
        <w:rPr>
          <w:i/>
          <w:color w:val="85BB24"/>
          <w:sz w:val="18"/>
        </w:rPr>
        <w:t>challenge non-Indigenous teachers and principals to shift their power [to the community]. If parents identify curriculum as an issue, we will work with teachers to change the</w:t>
      </w:r>
      <w:r>
        <w:rPr>
          <w:i/>
          <w:color w:val="85BB24"/>
          <w:spacing w:val="-36"/>
          <w:sz w:val="18"/>
        </w:rPr>
        <w:t> </w:t>
      </w:r>
      <w:r>
        <w:rPr>
          <w:i/>
          <w:color w:val="85BB24"/>
          <w:sz w:val="18"/>
        </w:rPr>
        <w:t>curriculum.”</w:t>
      </w:r>
    </w:p>
    <w:p>
      <w:pPr>
        <w:pStyle w:val="ListParagraph"/>
        <w:numPr>
          <w:ilvl w:val="0"/>
          <w:numId w:val="33"/>
        </w:numPr>
        <w:tabs>
          <w:tab w:pos="441" w:val="left" w:leader="none"/>
          <w:tab w:pos="443" w:val="left" w:leader="none"/>
        </w:tabs>
        <w:spacing w:line="261" w:lineRule="auto" w:before="19" w:after="0"/>
        <w:ind w:left="442" w:right="865" w:hanging="284"/>
        <w:jc w:val="left"/>
        <w:rPr>
          <w:sz w:val="18"/>
        </w:rPr>
      </w:pPr>
      <w:r>
        <w:rPr>
          <w:sz w:val="18"/>
        </w:rPr>
        <w:t>DSDSATSIP is working with the state’s remote and discrete Aboriginal and Torres Strait Islander communities to establish greater decision-making authority in service delivery and economic development through the Local Thriving Communities</w:t>
      </w:r>
      <w:r>
        <w:rPr>
          <w:spacing w:val="-10"/>
          <w:sz w:val="18"/>
        </w:rPr>
        <w:t> </w:t>
      </w:r>
      <w:r>
        <w:rPr>
          <w:sz w:val="18"/>
        </w:rPr>
        <w:t>reform.</w:t>
      </w:r>
    </w:p>
    <w:p>
      <w:pPr>
        <w:pStyle w:val="ListParagraph"/>
        <w:numPr>
          <w:ilvl w:val="0"/>
          <w:numId w:val="33"/>
        </w:numPr>
        <w:tabs>
          <w:tab w:pos="441" w:val="left" w:leader="none"/>
          <w:tab w:pos="443" w:val="left" w:leader="none"/>
        </w:tabs>
        <w:spacing w:line="264" w:lineRule="auto" w:before="3" w:after="0"/>
        <w:ind w:left="442" w:right="744" w:hanging="284"/>
        <w:jc w:val="left"/>
        <w:rPr>
          <w:sz w:val="18"/>
        </w:rPr>
      </w:pPr>
      <w:r>
        <w:rPr>
          <w:sz w:val="18"/>
        </w:rPr>
        <w:t>Queensland Health and the Queensland Aboriginal and Islander Health Council has recently developed Queensland’s Aboriginal and Torres Strait Islander Health Equity Framework. This Framework seeks to actively eliminate racial discrimination and institutional racism, and influence the social, cultural and economic determinants of health through partnerships with Aboriginal and Torres Strait Islander organisations and communities to design, deliver and review healthcare services.</w:t>
      </w:r>
    </w:p>
    <w:p>
      <w:pPr>
        <w:pStyle w:val="BodyText"/>
        <w:spacing w:before="4"/>
        <w:rPr>
          <w:sz w:val="19"/>
        </w:rPr>
      </w:pPr>
    </w:p>
    <w:p>
      <w:pPr>
        <w:pStyle w:val="BodyText"/>
        <w:spacing w:line="264" w:lineRule="auto"/>
        <w:ind w:left="300" w:right="791"/>
      </w:pPr>
      <w:r>
        <w:rPr/>
        <w:t>It is commendable that government agencies have started embedding greater community voice and co-design in their respective strategies. However, government stakeholders noted that </w:t>
      </w:r>
      <w:r>
        <w:rPr>
          <w:i/>
        </w:rPr>
        <w:t>Our </w:t>
      </w:r>
      <w:r>
        <w:rPr>
          <w:i/>
        </w:rPr>
        <w:t>Way </w:t>
      </w:r>
      <w:r>
        <w:rPr/>
        <w:t>did not fundamentally influence their day-to-day practice or shape strategic decisions. It was commonly reported that each government agency’s own strategies, frameworks and action plans take priority over </w:t>
      </w:r>
      <w:r>
        <w:rPr>
          <w:i/>
        </w:rPr>
        <w:t>Our Way</w:t>
      </w:r>
      <w:r>
        <w:rPr/>
        <w:t>. So, while many felt that the work of their government agencies was aligned with </w:t>
      </w:r>
      <w:r>
        <w:rPr>
          <w:i/>
        </w:rPr>
        <w:t>Our Way</w:t>
      </w:r>
      <w:r>
        <w:rPr/>
        <w:t>, this was more likely a reflection of their respective agencies’ core business rather than being due to cognisant effort to embody the vision of </w:t>
      </w:r>
      <w:r>
        <w:rPr>
          <w:i/>
        </w:rPr>
        <w:t>Our </w:t>
      </w:r>
      <w:r>
        <w:rPr/>
        <w:t>Way in their work. This highlights the opportunity moving forward for greater cross-system collaboration between DCYJMA and other government agencies to align their respective strategies to </w:t>
      </w:r>
      <w:r>
        <w:rPr>
          <w:i/>
        </w:rPr>
        <w:t>Our Way</w:t>
      </w:r>
      <w:r>
        <w:rPr/>
        <w:t>, given that it is a whole-of-government strategy.</w:t>
      </w:r>
    </w:p>
    <w:p>
      <w:pPr>
        <w:pStyle w:val="BodyText"/>
        <w:spacing w:before="8"/>
      </w:pPr>
    </w:p>
    <w:p>
      <w:pPr>
        <w:pStyle w:val="Heading2"/>
        <w:numPr>
          <w:ilvl w:val="1"/>
          <w:numId w:val="32"/>
        </w:numPr>
        <w:tabs>
          <w:tab w:pos="1094" w:val="left" w:leader="none"/>
          <w:tab w:pos="1095" w:val="left" w:leader="none"/>
        </w:tabs>
        <w:spacing w:line="240" w:lineRule="auto" w:before="1" w:after="0"/>
        <w:ind w:left="1094" w:right="0" w:hanging="795"/>
        <w:jc w:val="left"/>
        <w:rPr>
          <w:i/>
        </w:rPr>
      </w:pPr>
      <w:bookmarkStart w:name="_bookmark50" w:id="81"/>
      <w:bookmarkEnd w:id="81"/>
      <w:r>
        <w:rPr>
          <w:b w:val="0"/>
        </w:rPr>
      </w:r>
      <w:bookmarkStart w:name="_bookmark50" w:id="82"/>
      <w:bookmarkEnd w:id="82"/>
      <w:r>
        <w:rPr>
          <w:color w:val="61B5E4"/>
        </w:rPr>
        <w:t>S</w:t>
      </w:r>
      <w:r>
        <w:rPr>
          <w:color w:val="61B5E4"/>
        </w:rPr>
        <w:t>takeholders’ awareness and alignment with </w:t>
      </w:r>
      <w:r>
        <w:rPr>
          <w:i/>
          <w:color w:val="61B5E4"/>
        </w:rPr>
        <w:t>Our</w:t>
      </w:r>
      <w:r>
        <w:rPr>
          <w:i/>
          <w:color w:val="61B5E4"/>
          <w:spacing w:val="-4"/>
        </w:rPr>
        <w:t> </w:t>
      </w:r>
      <w:r>
        <w:rPr>
          <w:i/>
          <w:color w:val="61B5E4"/>
        </w:rPr>
        <w:t>Way</w:t>
      </w:r>
    </w:p>
    <w:p>
      <w:pPr>
        <w:pStyle w:val="Heading4"/>
        <w:spacing w:line="264" w:lineRule="auto" w:before="20"/>
        <w:ind w:right="1023"/>
      </w:pPr>
      <w:r>
        <w:rPr>
          <w:color w:val="0096A9"/>
        </w:rPr>
        <w:t>While most survey respondents were aware of the intent and vision of </w:t>
      </w:r>
      <w:r>
        <w:rPr>
          <w:i/>
          <w:color w:val="0096A9"/>
        </w:rPr>
        <w:t>Our Way</w:t>
      </w:r>
      <w:r>
        <w:rPr>
          <w:color w:val="0096A9"/>
        </w:rPr>
        <w:t>, a smaller proportion of survey respondents agreed that governance structures are clear and that their leaders have vocalised support for </w:t>
      </w:r>
      <w:r>
        <w:rPr>
          <w:i/>
          <w:color w:val="0096A9"/>
        </w:rPr>
        <w:t>Our Way</w:t>
      </w:r>
      <w:r>
        <w:rPr>
          <w:color w:val="0096A9"/>
        </w:rPr>
        <w:t>.</w:t>
      </w:r>
    </w:p>
    <w:p>
      <w:pPr>
        <w:pStyle w:val="BodyText"/>
        <w:spacing w:line="264" w:lineRule="auto" w:before="168"/>
        <w:ind w:left="300" w:right="1305"/>
      </w:pPr>
      <w:r>
        <w:rPr/>
        <w:t>The network analysis survey mainly received responses from those who work in DCYJMA and ACCOs. As illustrated in </w:t>
      </w:r>
      <w:hyperlink w:history="true" w:anchor="_bookmark51">
        <w:r>
          <w:rPr/>
          <w:t>Chart 4.1</w:t>
        </w:r>
      </w:hyperlink>
      <w:r>
        <w:rPr/>
        <w:t>, their responses indicate that:</w:t>
      </w:r>
    </w:p>
    <w:p>
      <w:pPr>
        <w:pStyle w:val="ListParagraph"/>
        <w:numPr>
          <w:ilvl w:val="1"/>
          <w:numId w:val="33"/>
        </w:numPr>
        <w:tabs>
          <w:tab w:pos="660" w:val="left" w:leader="none"/>
          <w:tab w:pos="661" w:val="left" w:leader="none"/>
        </w:tabs>
        <w:spacing w:line="261" w:lineRule="auto" w:before="167" w:after="0"/>
        <w:ind w:left="660" w:right="870" w:hanging="360"/>
        <w:jc w:val="left"/>
        <w:rPr>
          <w:sz w:val="18"/>
        </w:rPr>
      </w:pPr>
      <w:r>
        <w:rPr>
          <w:b/>
          <w:sz w:val="18"/>
        </w:rPr>
        <w:t>There is strong awareness of the intent of </w:t>
      </w:r>
      <w:r>
        <w:rPr>
          <w:b/>
          <w:i/>
          <w:sz w:val="18"/>
        </w:rPr>
        <w:t>Our Way </w:t>
      </w:r>
      <w:r>
        <w:rPr>
          <w:b/>
          <w:sz w:val="18"/>
        </w:rPr>
        <w:t>and awareness of the action plans</w:t>
      </w:r>
      <w:r>
        <w:rPr>
          <w:sz w:val="18"/>
        </w:rPr>
        <w:t>. 95 per cent of survey respondents agreed or strongly agreed that they understand the intent of </w:t>
      </w:r>
      <w:r>
        <w:rPr>
          <w:i/>
          <w:sz w:val="18"/>
        </w:rPr>
        <w:t>Our Way </w:t>
      </w:r>
      <w:r>
        <w:rPr>
          <w:sz w:val="18"/>
        </w:rPr>
        <w:t>and its objectives. 75 per cent of survey respondents were aware of the strategy and its action</w:t>
      </w:r>
      <w:r>
        <w:rPr>
          <w:spacing w:val="-5"/>
          <w:sz w:val="18"/>
        </w:rPr>
        <w:t> </w:t>
      </w:r>
      <w:r>
        <w:rPr>
          <w:sz w:val="18"/>
        </w:rPr>
        <w:t>plans.</w:t>
      </w:r>
    </w:p>
    <w:p>
      <w:pPr>
        <w:spacing w:after="0" w:line="261" w:lineRule="auto"/>
        <w:jc w:val="left"/>
        <w:rPr>
          <w:sz w:val="18"/>
        </w:rPr>
        <w:sectPr>
          <w:pgSz w:w="11910" w:h="16840"/>
          <w:pgMar w:header="650" w:footer="420" w:top="1340" w:bottom="620" w:left="1140" w:right="700"/>
        </w:sectPr>
      </w:pPr>
    </w:p>
    <w:p>
      <w:pPr>
        <w:pStyle w:val="ListParagraph"/>
        <w:numPr>
          <w:ilvl w:val="1"/>
          <w:numId w:val="33"/>
        </w:numPr>
        <w:tabs>
          <w:tab w:pos="661" w:val="left" w:leader="none"/>
        </w:tabs>
        <w:spacing w:line="261" w:lineRule="auto" w:before="109" w:after="0"/>
        <w:ind w:left="660" w:right="799" w:hanging="360"/>
        <w:jc w:val="both"/>
        <w:rPr>
          <w:sz w:val="18"/>
        </w:rPr>
      </w:pPr>
      <w:r>
        <w:rPr>
          <w:b/>
          <w:sz w:val="18"/>
        </w:rPr>
        <w:t>There is comparatively lower awareness on the role of their respective organisations to achieve the intended objectives of </w:t>
      </w:r>
      <w:r>
        <w:rPr>
          <w:b/>
          <w:i/>
          <w:sz w:val="18"/>
        </w:rPr>
        <w:t>Our Way. </w:t>
      </w:r>
      <w:r>
        <w:rPr>
          <w:sz w:val="18"/>
        </w:rPr>
        <w:t>63 per cent of survey respondents agreed to this statement and 16 per cent of survey respondents notably</w:t>
      </w:r>
      <w:r>
        <w:rPr>
          <w:spacing w:val="-14"/>
          <w:sz w:val="18"/>
        </w:rPr>
        <w:t> </w:t>
      </w:r>
      <w:r>
        <w:rPr>
          <w:sz w:val="18"/>
        </w:rPr>
        <w:t>disagreed.</w:t>
      </w:r>
    </w:p>
    <w:p>
      <w:pPr>
        <w:pStyle w:val="ListParagraph"/>
        <w:numPr>
          <w:ilvl w:val="1"/>
          <w:numId w:val="33"/>
        </w:numPr>
        <w:tabs>
          <w:tab w:pos="660" w:val="left" w:leader="none"/>
          <w:tab w:pos="661" w:val="left" w:leader="none"/>
        </w:tabs>
        <w:spacing w:line="261" w:lineRule="auto" w:before="2" w:after="0"/>
        <w:ind w:left="660" w:right="924" w:hanging="360"/>
        <w:jc w:val="left"/>
        <w:rPr>
          <w:sz w:val="18"/>
        </w:rPr>
      </w:pPr>
      <w:r>
        <w:rPr>
          <w:b/>
          <w:sz w:val="18"/>
        </w:rPr>
        <w:t>There is also scope to improve clarity of governance structures. </w:t>
      </w:r>
      <w:r>
        <w:rPr>
          <w:sz w:val="18"/>
        </w:rPr>
        <w:t>27 per cent of survey respondents do not feel that the governance structures supporting </w:t>
      </w:r>
      <w:r>
        <w:rPr>
          <w:i/>
          <w:sz w:val="18"/>
        </w:rPr>
        <w:t>Our Way </w:t>
      </w:r>
      <w:r>
        <w:rPr>
          <w:sz w:val="18"/>
        </w:rPr>
        <w:t>are clear. This may be related to the fact that the strategy is delivered through a partnership between the Queensland Government and Family Matters Queensland. During consultations, some stakeholders noted that the delineation of responsibilities between both parties were</w:t>
      </w:r>
      <w:r>
        <w:rPr>
          <w:spacing w:val="-34"/>
          <w:sz w:val="18"/>
        </w:rPr>
        <w:t> </w:t>
      </w:r>
      <w:r>
        <w:rPr>
          <w:sz w:val="18"/>
        </w:rPr>
        <w:t>unclear.</w:t>
      </w:r>
    </w:p>
    <w:p>
      <w:pPr>
        <w:pStyle w:val="ListParagraph"/>
        <w:numPr>
          <w:ilvl w:val="1"/>
          <w:numId w:val="33"/>
        </w:numPr>
        <w:tabs>
          <w:tab w:pos="660" w:val="left" w:leader="none"/>
          <w:tab w:pos="661" w:val="left" w:leader="none"/>
        </w:tabs>
        <w:spacing w:line="261" w:lineRule="auto" w:before="6" w:after="0"/>
        <w:ind w:left="660" w:right="1228" w:hanging="360"/>
        <w:jc w:val="left"/>
        <w:rPr>
          <w:sz w:val="18"/>
        </w:rPr>
      </w:pPr>
      <w:r>
        <w:rPr>
          <w:b/>
          <w:sz w:val="18"/>
        </w:rPr>
        <w:t>Not all leaders outwardly vocalise their support for </w:t>
      </w:r>
      <w:r>
        <w:rPr>
          <w:b/>
          <w:i/>
          <w:sz w:val="18"/>
        </w:rPr>
        <w:t>Our Way</w:t>
      </w:r>
      <w:r>
        <w:rPr>
          <w:b/>
          <w:sz w:val="18"/>
        </w:rPr>
        <w:t>. </w:t>
      </w:r>
      <w:r>
        <w:rPr>
          <w:sz w:val="18"/>
        </w:rPr>
        <w:t>47 per cent of survey respondents agreed or strongly agreed that they have heard their leaders vocalise their support for </w:t>
      </w:r>
      <w:r>
        <w:rPr>
          <w:i/>
          <w:sz w:val="18"/>
        </w:rPr>
        <w:t>Our Way</w:t>
      </w:r>
      <w:r>
        <w:rPr>
          <w:sz w:val="18"/>
        </w:rPr>
        <w:t>, compared to 27 per cent of survey respondents who disagreed. This indicates that leadership commitment to </w:t>
      </w:r>
      <w:r>
        <w:rPr>
          <w:i/>
          <w:sz w:val="18"/>
        </w:rPr>
        <w:t>Our Way </w:t>
      </w:r>
      <w:r>
        <w:rPr>
          <w:sz w:val="18"/>
        </w:rPr>
        <w:t>may not have been sufficiently communicated to the broader</w:t>
      </w:r>
      <w:r>
        <w:rPr>
          <w:spacing w:val="-4"/>
          <w:sz w:val="18"/>
        </w:rPr>
        <w:t> </w:t>
      </w:r>
      <w:r>
        <w:rPr>
          <w:sz w:val="18"/>
        </w:rPr>
        <w:t>organisation.</w:t>
      </w:r>
    </w:p>
    <w:p>
      <w:pPr>
        <w:spacing w:before="190"/>
        <w:ind w:left="300" w:right="0" w:firstLine="0"/>
        <w:jc w:val="left"/>
        <w:rPr>
          <w:sz w:val="17"/>
        </w:rPr>
      </w:pPr>
      <w:r>
        <w:rPr>
          <w:color w:val="75787A"/>
          <w:sz w:val="17"/>
        </w:rPr>
        <w:t>Chart 4.1 </w:t>
      </w:r>
      <w:bookmarkStart w:name="_bookmark51" w:id="83"/>
      <w:bookmarkEnd w:id="83"/>
      <w:r>
        <w:rPr>
          <w:color w:val="75787A"/>
          <w:sz w:val="17"/>
        </w:rPr>
        <w:t>Su</w:t>
      </w:r>
      <w:r>
        <w:rPr>
          <w:color w:val="75787A"/>
          <w:sz w:val="17"/>
        </w:rPr>
        <w:t>rvey responses to statements related to the awareness and alignment of </w:t>
      </w:r>
      <w:r>
        <w:rPr>
          <w:i/>
          <w:color w:val="75787A"/>
          <w:sz w:val="17"/>
        </w:rPr>
        <w:t>Our Way’s </w:t>
      </w:r>
      <w:r>
        <w:rPr>
          <w:color w:val="75787A"/>
          <w:sz w:val="17"/>
        </w:rPr>
        <w:t>vision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before="0"/>
        <w:ind w:left="300" w:right="0" w:firstLine="0"/>
        <w:jc w:val="left"/>
        <w:rPr>
          <w:sz w:val="16"/>
        </w:rPr>
      </w:pPr>
      <w:r>
        <w:rPr>
          <w:color w:val="75787A"/>
          <w:sz w:val="16"/>
        </w:rPr>
        <w:t>Source: Deloitte Network Analysis Survey 2022 (total responses n=23)</w:t>
      </w:r>
    </w:p>
    <w:p>
      <w:pPr>
        <w:pStyle w:val="BodyText"/>
        <w:spacing w:before="6"/>
        <w:rPr>
          <w:sz w:val="21"/>
        </w:rPr>
      </w:pPr>
    </w:p>
    <w:p>
      <w:pPr>
        <w:pStyle w:val="Heading4"/>
        <w:spacing w:line="264" w:lineRule="auto"/>
        <w:ind w:right="977"/>
      </w:pPr>
      <w:r>
        <w:rPr>
          <w:color w:val="0096A9"/>
        </w:rPr>
        <w:t>Some frontline agencies do not consider themselves to be part of the </w:t>
      </w:r>
      <w:r>
        <w:rPr>
          <w:i/>
          <w:color w:val="0096A9"/>
        </w:rPr>
        <w:t>Our Way </w:t>
      </w:r>
      <w:r>
        <w:rPr>
          <w:color w:val="0096A9"/>
        </w:rPr>
        <w:t>system. This undermines ongoing efforts for effective cross-system coordination.</w:t>
      </w:r>
    </w:p>
    <w:p>
      <w:pPr>
        <w:spacing w:line="264" w:lineRule="auto" w:before="169"/>
        <w:ind w:left="300" w:right="735" w:firstLine="0"/>
        <w:jc w:val="left"/>
        <w:rPr>
          <w:i/>
          <w:sz w:val="18"/>
        </w:rPr>
      </w:pPr>
      <w:r>
        <w:rPr>
          <w:sz w:val="18"/>
        </w:rPr>
        <w:t>Government agencies who were closely involved in the early design of </w:t>
      </w:r>
      <w:r>
        <w:rPr>
          <w:i/>
          <w:sz w:val="18"/>
        </w:rPr>
        <w:t>Our Way </w:t>
      </w:r>
      <w:r>
        <w:rPr>
          <w:sz w:val="18"/>
        </w:rPr>
        <w:t>– such as DSDSATSIP and DCYJMA representations - were more likely to be aware of </w:t>
      </w:r>
      <w:r>
        <w:rPr>
          <w:i/>
          <w:sz w:val="18"/>
        </w:rPr>
        <w:t>Our Way </w:t>
      </w:r>
      <w:r>
        <w:rPr>
          <w:sz w:val="18"/>
        </w:rPr>
        <w:t>and understand its intent compared to representatives from other government agencies. However, a few other government agencies – particularly central agencies – do not feel that they have a role to play in delivering </w:t>
      </w:r>
      <w:r>
        <w:rPr>
          <w:i/>
          <w:sz w:val="18"/>
        </w:rPr>
        <w:t>Our Way</w:t>
      </w:r>
      <w:r>
        <w:rPr>
          <w:sz w:val="18"/>
        </w:rPr>
        <w:t>. This is evident throughout this evaluation, when selected government stakeholders declined to participate in stakeholder interviews because they stated that they have limited awareness and involvement in implementing </w:t>
      </w:r>
      <w:r>
        <w:rPr>
          <w:i/>
          <w:sz w:val="18"/>
        </w:rPr>
        <w:t>Our Way</w:t>
      </w:r>
      <w:r>
        <w:rPr>
          <w:sz w:val="18"/>
        </w:rPr>
        <w:t>. There is an inaccurate perception among selected agencies that </w:t>
      </w:r>
      <w:r>
        <w:rPr>
          <w:i/>
          <w:sz w:val="18"/>
        </w:rPr>
        <w:t>Our Way </w:t>
      </w:r>
      <w:r>
        <w:rPr>
          <w:sz w:val="18"/>
        </w:rPr>
        <w:t>was solely a “child safety strategy”. For example, one stakeholder said </w:t>
      </w:r>
      <w:r>
        <w:rPr>
          <w:color w:val="85BB24"/>
          <w:sz w:val="18"/>
        </w:rPr>
        <w:t>“</w:t>
      </w:r>
      <w:r>
        <w:rPr>
          <w:i/>
          <w:color w:val="85BB24"/>
          <w:sz w:val="18"/>
        </w:rPr>
        <w:t>Our Way is not seen as important to other government agencies </w:t>
      </w:r>
      <w:r>
        <w:rPr>
          <w:i/>
          <w:color w:val="85BB24"/>
          <w:sz w:val="18"/>
        </w:rPr>
        <w:t>because many of them see the strategy as a child safety issue. As they do not work specifically in child protection and they are time poor, it is not seen as relevant. It is not prioritised at a senior level or explained in a way that they can relate it to the work they are</w:t>
      </w:r>
      <w:r>
        <w:rPr>
          <w:i/>
          <w:color w:val="85BB24"/>
          <w:spacing w:val="-19"/>
          <w:sz w:val="18"/>
        </w:rPr>
        <w:t> </w:t>
      </w:r>
      <w:r>
        <w:rPr>
          <w:i/>
          <w:color w:val="85BB24"/>
          <w:sz w:val="18"/>
        </w:rPr>
        <w:t>doing.”</w:t>
      </w:r>
    </w:p>
    <w:p>
      <w:pPr>
        <w:pStyle w:val="BodyText"/>
        <w:rPr>
          <w:i/>
          <w:sz w:val="22"/>
        </w:rPr>
      </w:pPr>
    </w:p>
    <w:p>
      <w:pPr>
        <w:pStyle w:val="BodyText"/>
        <w:spacing w:line="264" w:lineRule="auto" w:before="136"/>
        <w:ind w:left="300" w:right="727"/>
      </w:pPr>
      <w:r>
        <w:rPr/>
        <w:t>This indicates limited understanding and awareness on the collective responsibility to support the achievement of </w:t>
      </w:r>
      <w:r>
        <w:rPr>
          <w:i/>
        </w:rPr>
        <w:t>Our Way </w:t>
      </w:r>
      <w:r>
        <w:rPr/>
        <w:t>objectives. It may also lead to a more siloed approach to service delivery. Government stakeholders noted that there is a missed opportunity of linking other government</w:t>
      </w:r>
    </w:p>
    <w:p>
      <w:pPr>
        <w:spacing w:after="0" w:line="264" w:lineRule="auto"/>
        <w:sectPr>
          <w:pgSz w:w="11910" w:h="16840"/>
          <w:pgMar w:header="650" w:footer="420" w:top="1340" w:bottom="620" w:left="1140" w:right="700"/>
        </w:sectPr>
      </w:pPr>
    </w:p>
    <w:p>
      <w:pPr>
        <w:pStyle w:val="BodyText"/>
        <w:spacing w:line="264" w:lineRule="auto" w:before="109"/>
        <w:ind w:left="300" w:right="1125"/>
      </w:pPr>
      <w:r>
        <w:rPr/>
        <w:t>strategies (such as those that relate to domestic and family violence and housing) to </w:t>
      </w:r>
      <w:r>
        <w:rPr>
          <w:i/>
        </w:rPr>
        <w:t>Our Way</w:t>
      </w:r>
      <w:r>
        <w:rPr/>
        <w:t>, given that these issues influence the outcomes of Aboriginal and Torres Islander peoples</w:t>
      </w:r>
      <w:r>
        <w:rPr>
          <w:position w:val="6"/>
          <w:sz w:val="12"/>
        </w:rPr>
        <w:t>13</w:t>
      </w:r>
      <w:r>
        <w:rPr/>
        <w:t>.</w:t>
      </w:r>
    </w:p>
    <w:p>
      <w:pPr>
        <w:pStyle w:val="Heading4"/>
        <w:spacing w:line="264" w:lineRule="auto" w:before="169"/>
        <w:ind w:right="1385"/>
      </w:pPr>
      <w:r>
        <w:rPr>
          <w:color w:val="0096A9"/>
        </w:rPr>
        <w:t>Stakeholders working in central policy and strategy positions are more likely to be aware of and aligned to the vision of </w:t>
      </w:r>
      <w:r>
        <w:rPr>
          <w:i/>
          <w:color w:val="0096A9"/>
        </w:rPr>
        <w:t>Our Way </w:t>
      </w:r>
      <w:r>
        <w:rPr>
          <w:color w:val="0096A9"/>
        </w:rPr>
        <w:t>than frontline workers.</w:t>
      </w:r>
    </w:p>
    <w:p>
      <w:pPr>
        <w:pStyle w:val="BodyText"/>
        <w:spacing w:line="264" w:lineRule="auto" w:before="169"/>
        <w:ind w:left="300" w:right="954"/>
      </w:pPr>
      <w:hyperlink w:history="true" w:anchor="_bookmark52">
        <w:r>
          <w:rPr/>
          <w:t>Table 4.2 </w:t>
        </w:r>
      </w:hyperlink>
      <w:r>
        <w:rPr/>
        <w:t>below disaggregates survey responses to questions related to awareness and vision alignment by employer type, role type and whether the survey respondent was of Aboriginal and Torres Strait Islander descent.</w:t>
      </w:r>
    </w:p>
    <w:p>
      <w:pPr>
        <w:pStyle w:val="BodyText"/>
        <w:spacing w:before="7"/>
        <w:rPr>
          <w:sz w:val="20"/>
        </w:rPr>
      </w:pPr>
    </w:p>
    <w:p>
      <w:pPr>
        <w:spacing w:before="0"/>
        <w:ind w:left="300" w:right="0" w:firstLine="0"/>
        <w:jc w:val="left"/>
        <w:rPr>
          <w:i/>
          <w:sz w:val="17"/>
        </w:rPr>
      </w:pPr>
      <w:r>
        <w:rPr>
          <w:color w:val="75787A"/>
          <w:sz w:val="17"/>
        </w:rPr>
        <w:t>Table </w:t>
      </w:r>
      <w:bookmarkStart w:name="_bookmark52" w:id="84"/>
      <w:bookmarkEnd w:id="84"/>
      <w:r>
        <w:rPr>
          <w:color w:val="75787A"/>
          <w:sz w:val="17"/>
        </w:rPr>
        <w:t>4.2</w:t>
      </w:r>
      <w:r>
        <w:rPr>
          <w:color w:val="75787A"/>
          <w:sz w:val="17"/>
        </w:rPr>
        <w:t> Disaggregated survey responses to statements related to the awareness and alignment of </w:t>
      </w:r>
      <w:r>
        <w:rPr>
          <w:i/>
          <w:color w:val="75787A"/>
          <w:sz w:val="17"/>
        </w:rPr>
        <w:t>Our</w:t>
      </w:r>
    </w:p>
    <w:p>
      <w:pPr>
        <w:spacing w:before="34"/>
        <w:ind w:left="300" w:right="0" w:firstLine="0"/>
        <w:jc w:val="left"/>
        <w:rPr>
          <w:sz w:val="17"/>
        </w:rPr>
      </w:pPr>
      <w:r>
        <w:rPr>
          <w:i/>
          <w:color w:val="75787A"/>
          <w:sz w:val="17"/>
        </w:rPr>
        <w:t>Way’s </w:t>
      </w:r>
      <w:r>
        <w:rPr>
          <w:color w:val="75787A"/>
          <w:sz w:val="17"/>
        </w:rPr>
        <w:t>vision (% reflects proportion of survey respondents who agreed or strongly agreed)</w:t>
      </w:r>
    </w:p>
    <w:p>
      <w:pPr>
        <w:pStyle w:val="BodyText"/>
        <w:rPr>
          <w:sz w:val="20"/>
        </w:rPr>
      </w:pPr>
    </w:p>
    <w:p>
      <w:pPr>
        <w:pStyle w:val="BodyText"/>
        <w:rPr>
          <w:sz w:val="20"/>
        </w:rPr>
      </w:pPr>
    </w:p>
    <w:p>
      <w:pPr>
        <w:pStyle w:val="BodyText"/>
        <w:spacing w:before="7"/>
        <w:rPr>
          <w:sz w:val="13"/>
        </w:rPr>
      </w:pPr>
    </w:p>
    <w:tbl>
      <w:tblPr>
        <w:tblW w:w="0" w:type="auto"/>
        <w:jc w:val="left"/>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1"/>
        <w:gridCol w:w="727"/>
        <w:gridCol w:w="727"/>
        <w:gridCol w:w="730"/>
        <w:gridCol w:w="727"/>
        <w:gridCol w:w="729"/>
        <w:gridCol w:w="731"/>
        <w:gridCol w:w="728"/>
        <w:gridCol w:w="728"/>
        <w:gridCol w:w="731"/>
      </w:tblGrid>
      <w:tr>
        <w:trPr>
          <w:trHeight w:val="1036" w:hRule="atLeast"/>
        </w:trPr>
        <w:tc>
          <w:tcPr>
            <w:tcW w:w="2861" w:type="dxa"/>
            <w:tcBorders>
              <w:bottom w:val="single" w:sz="4" w:space="0" w:color="000000"/>
              <w:right w:val="single" w:sz="4" w:space="0" w:color="000000"/>
            </w:tcBorders>
          </w:tcPr>
          <w:p>
            <w:pPr>
              <w:pStyle w:val="TableParagraph"/>
              <w:rPr>
                <w:sz w:val="12"/>
              </w:rPr>
            </w:pPr>
          </w:p>
          <w:p>
            <w:pPr>
              <w:pStyle w:val="TableParagraph"/>
              <w:rPr>
                <w:sz w:val="12"/>
              </w:rPr>
            </w:pPr>
          </w:p>
          <w:p>
            <w:pPr>
              <w:pStyle w:val="TableParagraph"/>
              <w:spacing w:before="9"/>
              <w:rPr>
                <w:sz w:val="10"/>
              </w:rPr>
            </w:pPr>
          </w:p>
          <w:p>
            <w:pPr>
              <w:pStyle w:val="TableParagraph"/>
              <w:ind w:left="116"/>
              <w:rPr>
                <w:b/>
                <w:sz w:val="10"/>
              </w:rPr>
            </w:pPr>
            <w:r>
              <w:rPr>
                <w:b/>
                <w:sz w:val="10"/>
              </w:rPr>
              <w:t>Awareness and vision alignment</w:t>
            </w:r>
          </w:p>
        </w:tc>
        <w:tc>
          <w:tcPr>
            <w:tcW w:w="1454" w:type="dxa"/>
            <w:gridSpan w:val="2"/>
            <w:tcBorders>
              <w:left w:val="single" w:sz="4" w:space="0" w:color="000000"/>
              <w:bottom w:val="single" w:sz="4" w:space="0" w:color="000000"/>
              <w:right w:val="single" w:sz="4" w:space="0" w:color="000000"/>
            </w:tcBorders>
            <w:shd w:val="clear" w:color="auto" w:fill="C4EEFF"/>
          </w:tcPr>
          <w:p>
            <w:pPr>
              <w:pStyle w:val="TableParagraph"/>
              <w:spacing w:line="119" w:lineRule="exact"/>
              <w:ind w:left="19"/>
              <w:jc w:val="center"/>
              <w:rPr>
                <w:b/>
                <w:sz w:val="10"/>
              </w:rPr>
            </w:pPr>
            <w:r>
              <w:rPr>
                <w:b/>
                <w:color w:val="00506E"/>
                <w:sz w:val="10"/>
              </w:rPr>
              <w:t>Employer</w:t>
            </w:r>
          </w:p>
          <w:p>
            <w:pPr>
              <w:pStyle w:val="TableParagraph"/>
              <w:rPr>
                <w:sz w:val="12"/>
              </w:rPr>
            </w:pPr>
          </w:p>
          <w:p>
            <w:pPr>
              <w:pStyle w:val="TableParagraph"/>
              <w:rPr>
                <w:sz w:val="12"/>
              </w:rPr>
            </w:pPr>
          </w:p>
          <w:p>
            <w:pPr>
              <w:pStyle w:val="TableParagraph"/>
              <w:rPr>
                <w:sz w:val="12"/>
              </w:rPr>
            </w:pPr>
          </w:p>
          <w:p>
            <w:pPr>
              <w:pStyle w:val="TableParagraph"/>
              <w:rPr>
                <w:sz w:val="14"/>
              </w:rPr>
            </w:pPr>
          </w:p>
          <w:p>
            <w:pPr>
              <w:pStyle w:val="TableParagraph"/>
              <w:tabs>
                <w:tab w:pos="746" w:val="left" w:leader="none"/>
              </w:tabs>
              <w:ind w:left="89"/>
              <w:jc w:val="center"/>
              <w:rPr>
                <w:sz w:val="10"/>
              </w:rPr>
            </w:pPr>
            <w:r>
              <w:rPr>
                <w:color w:val="00506E"/>
                <w:sz w:val="10"/>
              </w:rPr>
              <w:t>Gov</w:t>
              <w:tab/>
              <w:t>ACCOs</w:t>
            </w:r>
          </w:p>
          <w:p>
            <w:pPr>
              <w:pStyle w:val="TableParagraph"/>
              <w:tabs>
                <w:tab w:pos="763" w:val="left" w:leader="none"/>
              </w:tabs>
              <w:spacing w:line="102" w:lineRule="exact" w:before="66"/>
              <w:ind w:right="14"/>
              <w:jc w:val="center"/>
              <w:rPr>
                <w:b/>
                <w:sz w:val="10"/>
              </w:rPr>
            </w:pPr>
            <w:r>
              <w:rPr>
                <w:b/>
                <w:color w:val="00506E"/>
                <w:sz w:val="10"/>
              </w:rPr>
              <w:t>16</w:t>
              <w:tab/>
              <w:t>6</w:t>
            </w:r>
          </w:p>
        </w:tc>
        <w:tc>
          <w:tcPr>
            <w:tcW w:w="730" w:type="dxa"/>
            <w:tcBorders>
              <w:left w:val="single" w:sz="4" w:space="0" w:color="000000"/>
              <w:bottom w:val="single" w:sz="4" w:space="0" w:color="000000"/>
            </w:tcBorders>
            <w:shd w:val="clear" w:color="auto" w:fill="51CFFF"/>
          </w:tcPr>
          <w:p>
            <w:pPr>
              <w:pStyle w:val="TableParagraph"/>
              <w:rPr>
                <w:sz w:val="12"/>
              </w:rPr>
            </w:pPr>
          </w:p>
          <w:p>
            <w:pPr>
              <w:pStyle w:val="TableParagraph"/>
              <w:rPr>
                <w:sz w:val="12"/>
              </w:rPr>
            </w:pPr>
          </w:p>
          <w:p>
            <w:pPr>
              <w:pStyle w:val="TableParagraph"/>
              <w:spacing w:before="11"/>
              <w:rPr>
                <w:sz w:val="15"/>
              </w:rPr>
            </w:pPr>
          </w:p>
          <w:p>
            <w:pPr>
              <w:pStyle w:val="TableParagraph"/>
              <w:ind w:left="145" w:right="133"/>
              <w:jc w:val="center"/>
              <w:rPr>
                <w:sz w:val="10"/>
              </w:rPr>
            </w:pPr>
            <w:r>
              <w:rPr>
                <w:color w:val="00506E"/>
                <w:sz w:val="10"/>
              </w:rPr>
              <w:t>Frontline service delivery</w:t>
            </w:r>
          </w:p>
          <w:p>
            <w:pPr>
              <w:pStyle w:val="TableParagraph"/>
              <w:spacing w:line="102" w:lineRule="exact" w:before="65"/>
              <w:ind w:left="12"/>
              <w:jc w:val="center"/>
              <w:rPr>
                <w:b/>
                <w:sz w:val="10"/>
              </w:rPr>
            </w:pPr>
            <w:r>
              <w:rPr>
                <w:b/>
                <w:color w:val="00506E"/>
                <w:w w:val="100"/>
                <w:sz w:val="10"/>
              </w:rPr>
              <w:t>6</w:t>
            </w:r>
          </w:p>
        </w:tc>
        <w:tc>
          <w:tcPr>
            <w:tcW w:w="1456" w:type="dxa"/>
            <w:gridSpan w:val="2"/>
            <w:tcBorders>
              <w:bottom w:val="single" w:sz="4" w:space="0" w:color="000000"/>
            </w:tcBorders>
            <w:shd w:val="clear" w:color="auto" w:fill="51CFFF"/>
          </w:tcPr>
          <w:p>
            <w:pPr>
              <w:pStyle w:val="TableParagraph"/>
              <w:spacing w:line="119" w:lineRule="exact"/>
              <w:ind w:left="20"/>
              <w:jc w:val="center"/>
              <w:rPr>
                <w:b/>
                <w:sz w:val="10"/>
              </w:rPr>
            </w:pPr>
            <w:r>
              <w:rPr>
                <w:b/>
                <w:color w:val="00506E"/>
                <w:sz w:val="10"/>
              </w:rPr>
              <w:t>Role</w:t>
            </w:r>
          </w:p>
          <w:p>
            <w:pPr>
              <w:pStyle w:val="TableParagraph"/>
              <w:rPr>
                <w:sz w:val="12"/>
              </w:rPr>
            </w:pPr>
          </w:p>
          <w:p>
            <w:pPr>
              <w:pStyle w:val="TableParagraph"/>
              <w:rPr>
                <w:sz w:val="12"/>
              </w:rPr>
            </w:pPr>
          </w:p>
          <w:p>
            <w:pPr>
              <w:pStyle w:val="TableParagraph"/>
              <w:spacing w:before="74"/>
              <w:ind w:left="117" w:right="809" w:firstLine="72"/>
              <w:rPr>
                <w:sz w:val="10"/>
              </w:rPr>
            </w:pPr>
            <w:r>
              <w:rPr>
                <w:color w:val="00506E"/>
                <w:sz w:val="10"/>
              </w:rPr>
              <w:t>Central policy and</w:t>
            </w:r>
          </w:p>
          <w:p>
            <w:pPr>
              <w:pStyle w:val="TableParagraph"/>
              <w:tabs>
                <w:tab w:pos="858" w:val="left" w:leader="none"/>
              </w:tabs>
              <w:spacing w:line="121" w:lineRule="exact"/>
              <w:ind w:left="165"/>
              <w:rPr>
                <w:sz w:val="10"/>
              </w:rPr>
            </w:pPr>
            <w:r>
              <w:rPr>
                <w:color w:val="00506E"/>
                <w:sz w:val="10"/>
              </w:rPr>
              <w:t>strategy</w:t>
              <w:tab/>
              <w:t>Executive</w:t>
            </w:r>
          </w:p>
          <w:p>
            <w:pPr>
              <w:pStyle w:val="TableParagraph"/>
              <w:tabs>
                <w:tab w:pos="745" w:val="left" w:leader="none"/>
              </w:tabs>
              <w:spacing w:line="102" w:lineRule="exact" w:before="65"/>
              <w:ind w:left="16"/>
              <w:jc w:val="center"/>
              <w:rPr>
                <w:b/>
                <w:sz w:val="10"/>
              </w:rPr>
            </w:pPr>
            <w:r>
              <w:rPr>
                <w:b/>
                <w:color w:val="00506E"/>
                <w:sz w:val="10"/>
              </w:rPr>
              <w:t>5</w:t>
              <w:tab/>
              <w:t>2</w:t>
            </w:r>
          </w:p>
        </w:tc>
        <w:tc>
          <w:tcPr>
            <w:tcW w:w="731" w:type="dxa"/>
            <w:tcBorders>
              <w:bottom w:val="single" w:sz="4" w:space="0" w:color="000000"/>
              <w:right w:val="single" w:sz="4" w:space="0" w:color="000000"/>
            </w:tcBorders>
            <w:shd w:val="clear" w:color="auto" w:fill="51CFFF"/>
          </w:tcPr>
          <w:p>
            <w:pPr>
              <w:pStyle w:val="TableParagraph"/>
              <w:rPr>
                <w:sz w:val="12"/>
              </w:rPr>
            </w:pPr>
          </w:p>
          <w:p>
            <w:pPr>
              <w:pStyle w:val="TableParagraph"/>
              <w:rPr>
                <w:sz w:val="12"/>
              </w:rPr>
            </w:pPr>
          </w:p>
          <w:p>
            <w:pPr>
              <w:pStyle w:val="TableParagraph"/>
              <w:spacing w:before="11"/>
              <w:rPr>
                <w:sz w:val="15"/>
              </w:rPr>
            </w:pPr>
          </w:p>
          <w:p>
            <w:pPr>
              <w:pStyle w:val="TableParagraph"/>
              <w:ind w:left="201" w:right="171" w:firstLine="7"/>
              <w:jc w:val="both"/>
              <w:rPr>
                <w:sz w:val="10"/>
              </w:rPr>
            </w:pPr>
            <w:r>
              <w:rPr>
                <w:color w:val="00506E"/>
                <w:sz w:val="10"/>
              </w:rPr>
              <w:t>Other; please specify</w:t>
            </w:r>
          </w:p>
          <w:p>
            <w:pPr>
              <w:pStyle w:val="TableParagraph"/>
              <w:spacing w:line="102" w:lineRule="exact" w:before="65"/>
              <w:ind w:left="23"/>
              <w:jc w:val="center"/>
              <w:rPr>
                <w:b/>
                <w:sz w:val="10"/>
              </w:rPr>
            </w:pPr>
            <w:r>
              <w:rPr>
                <w:b/>
                <w:color w:val="00506E"/>
                <w:w w:val="100"/>
                <w:sz w:val="10"/>
              </w:rPr>
              <w:t>5</w:t>
            </w:r>
          </w:p>
        </w:tc>
        <w:tc>
          <w:tcPr>
            <w:tcW w:w="2187" w:type="dxa"/>
            <w:gridSpan w:val="3"/>
            <w:tcBorders>
              <w:left w:val="single" w:sz="4" w:space="0" w:color="000000"/>
              <w:bottom w:val="single" w:sz="4" w:space="0" w:color="000000"/>
              <w:right w:val="single" w:sz="8" w:space="0" w:color="000000"/>
            </w:tcBorders>
            <w:shd w:val="clear" w:color="auto" w:fill="00506E"/>
          </w:tcPr>
          <w:p>
            <w:pPr>
              <w:pStyle w:val="TableParagraph"/>
              <w:ind w:left="848" w:right="540" w:hanging="255"/>
              <w:rPr>
                <w:sz w:val="10"/>
              </w:rPr>
            </w:pPr>
            <w:r>
              <w:rPr>
                <w:b/>
                <w:color w:val="C4EEFF"/>
                <w:sz w:val="10"/>
              </w:rPr>
              <w:t>Indigenous status </w:t>
            </w:r>
            <w:r>
              <w:rPr>
                <w:color w:val="C4EEFF"/>
                <w:sz w:val="10"/>
              </w:rPr>
              <w:t>Yes, both Aboriginal</w:t>
            </w:r>
          </w:p>
          <w:p>
            <w:pPr>
              <w:pStyle w:val="TableParagraph"/>
              <w:ind w:left="940" w:right="892" w:firstLine="67"/>
              <w:rPr>
                <w:sz w:val="10"/>
              </w:rPr>
            </w:pPr>
            <w:r>
              <w:rPr>
                <w:color w:val="C4EEFF"/>
                <w:sz w:val="10"/>
              </w:rPr>
              <w:t>and Torres</w:t>
            </w:r>
          </w:p>
          <w:p>
            <w:pPr>
              <w:pStyle w:val="TableParagraph"/>
              <w:tabs>
                <w:tab w:pos="961" w:val="left" w:leader="none"/>
              </w:tabs>
              <w:spacing w:line="121" w:lineRule="exact"/>
              <w:ind w:left="263"/>
              <w:rPr>
                <w:sz w:val="10"/>
              </w:rPr>
            </w:pPr>
            <w:r>
              <w:rPr>
                <w:color w:val="C4EEFF"/>
                <w:sz w:val="10"/>
              </w:rPr>
              <w:t>Yes,</w:t>
              <w:tab/>
              <w:t>Strait</w:t>
            </w:r>
          </w:p>
          <w:p>
            <w:pPr>
              <w:pStyle w:val="TableParagraph"/>
              <w:tabs>
                <w:tab w:pos="894" w:val="left" w:leader="none"/>
                <w:tab w:pos="1760" w:val="left" w:leader="none"/>
              </w:tabs>
              <w:ind w:left="118"/>
              <w:rPr>
                <w:sz w:val="10"/>
              </w:rPr>
            </w:pPr>
            <w:r>
              <w:rPr>
                <w:color w:val="C4EEFF"/>
                <w:sz w:val="10"/>
              </w:rPr>
              <w:t>Aboriginal</w:t>
              <w:tab/>
              <w:t>Islander</w:t>
              <w:tab/>
              <w:t>No</w:t>
            </w:r>
          </w:p>
          <w:p>
            <w:pPr>
              <w:pStyle w:val="TableParagraph"/>
              <w:tabs>
                <w:tab w:pos="1064" w:val="left" w:leader="none"/>
                <w:tab w:pos="1758" w:val="left" w:leader="none"/>
              </w:tabs>
              <w:spacing w:line="102" w:lineRule="exact" w:before="64"/>
              <w:ind w:left="332"/>
              <w:rPr>
                <w:b/>
                <w:sz w:val="10"/>
              </w:rPr>
            </w:pPr>
            <w:r>
              <w:rPr>
                <w:b/>
                <w:color w:val="C4EEFF"/>
                <w:sz w:val="10"/>
              </w:rPr>
              <w:t>4</w:t>
              <w:tab/>
              <w:t>2</w:t>
              <w:tab/>
              <w:t>14</w:t>
            </w:r>
          </w:p>
        </w:tc>
      </w:tr>
      <w:tr>
        <w:trPr>
          <w:trHeight w:val="419" w:hRule="atLeast"/>
        </w:trPr>
        <w:tc>
          <w:tcPr>
            <w:tcW w:w="2861" w:type="dxa"/>
            <w:tcBorders>
              <w:top w:val="single" w:sz="4" w:space="0" w:color="000000"/>
              <w:right w:val="single" w:sz="4" w:space="0" w:color="000000"/>
            </w:tcBorders>
          </w:tcPr>
          <w:p>
            <w:pPr>
              <w:pStyle w:val="TableParagraph"/>
              <w:spacing w:before="26"/>
              <w:ind w:left="116" w:right="223"/>
              <w:rPr>
                <w:sz w:val="10"/>
              </w:rPr>
            </w:pPr>
            <w:r>
              <w:rPr>
                <w:sz w:val="10"/>
              </w:rPr>
              <w:t>I am </w:t>
            </w:r>
            <w:r>
              <w:rPr>
                <w:b/>
                <w:sz w:val="10"/>
              </w:rPr>
              <w:t>aware of Our Way </w:t>
            </w:r>
            <w:r>
              <w:rPr>
                <w:sz w:val="10"/>
              </w:rPr>
              <w:t>(2017-37) and its associated Changing Tracks action plans 2017-19 and 2020-22</w:t>
            </w:r>
          </w:p>
        </w:tc>
        <w:tc>
          <w:tcPr>
            <w:tcW w:w="727" w:type="dxa"/>
            <w:tcBorders>
              <w:top w:val="single" w:sz="4" w:space="0" w:color="000000"/>
              <w:left w:val="single" w:sz="4" w:space="0" w:color="000000"/>
            </w:tcBorders>
            <w:shd w:val="clear" w:color="auto" w:fill="CDDF92"/>
          </w:tcPr>
          <w:p>
            <w:pPr>
              <w:pStyle w:val="TableParagraph"/>
              <w:spacing w:before="3"/>
              <w:rPr>
                <w:sz w:val="12"/>
              </w:rPr>
            </w:pPr>
          </w:p>
          <w:p>
            <w:pPr>
              <w:pStyle w:val="TableParagraph"/>
              <w:ind w:left="190" w:right="177"/>
              <w:jc w:val="center"/>
              <w:rPr>
                <w:sz w:val="10"/>
              </w:rPr>
            </w:pPr>
            <w:r>
              <w:rPr>
                <w:sz w:val="10"/>
              </w:rPr>
              <w:t>50%</w:t>
            </w:r>
          </w:p>
        </w:tc>
        <w:tc>
          <w:tcPr>
            <w:tcW w:w="727" w:type="dxa"/>
            <w:tcBorders>
              <w:top w:val="single" w:sz="4" w:space="0" w:color="000000"/>
              <w:right w:val="single" w:sz="4" w:space="0" w:color="000000"/>
            </w:tcBorders>
            <w:shd w:val="clear" w:color="auto" w:fill="83C782"/>
          </w:tcPr>
          <w:p>
            <w:pPr>
              <w:pStyle w:val="TableParagraph"/>
              <w:spacing w:before="3"/>
              <w:rPr>
                <w:sz w:val="12"/>
              </w:rPr>
            </w:pPr>
          </w:p>
          <w:p>
            <w:pPr>
              <w:pStyle w:val="TableParagraph"/>
              <w:ind w:left="205" w:right="176"/>
              <w:jc w:val="center"/>
              <w:rPr>
                <w:sz w:val="10"/>
              </w:rPr>
            </w:pPr>
            <w:r>
              <w:rPr>
                <w:sz w:val="10"/>
              </w:rPr>
              <w:t>83%</w:t>
            </w:r>
          </w:p>
        </w:tc>
        <w:tc>
          <w:tcPr>
            <w:tcW w:w="730" w:type="dxa"/>
            <w:tcBorders>
              <w:top w:val="single" w:sz="4" w:space="0" w:color="000000"/>
              <w:left w:val="single" w:sz="4" w:space="0" w:color="000000"/>
            </w:tcBorders>
            <w:shd w:val="clear" w:color="auto" w:fill="DFE695"/>
          </w:tcPr>
          <w:p>
            <w:pPr>
              <w:pStyle w:val="TableParagraph"/>
              <w:spacing w:before="3"/>
              <w:rPr>
                <w:sz w:val="12"/>
              </w:rPr>
            </w:pPr>
          </w:p>
          <w:p>
            <w:pPr>
              <w:pStyle w:val="TableParagraph"/>
              <w:ind w:left="145" w:right="129"/>
              <w:jc w:val="center"/>
              <w:rPr>
                <w:sz w:val="10"/>
              </w:rPr>
            </w:pPr>
            <w:r>
              <w:rPr>
                <w:sz w:val="10"/>
              </w:rPr>
              <w:t>33%</w:t>
            </w:r>
          </w:p>
        </w:tc>
        <w:tc>
          <w:tcPr>
            <w:tcW w:w="727" w:type="dxa"/>
            <w:tcBorders>
              <w:top w:val="single" w:sz="4" w:space="0" w:color="000000"/>
            </w:tcBorders>
            <w:shd w:val="clear" w:color="auto" w:fill="88C983"/>
          </w:tcPr>
          <w:p>
            <w:pPr>
              <w:pStyle w:val="TableParagraph"/>
              <w:spacing w:before="3"/>
              <w:rPr>
                <w:sz w:val="12"/>
              </w:rPr>
            </w:pPr>
          </w:p>
          <w:p>
            <w:pPr>
              <w:pStyle w:val="TableParagraph"/>
              <w:ind w:left="203" w:right="184"/>
              <w:jc w:val="center"/>
              <w:rPr>
                <w:sz w:val="10"/>
              </w:rPr>
            </w:pPr>
            <w:r>
              <w:rPr>
                <w:sz w:val="10"/>
              </w:rPr>
              <w:t>80%</w:t>
            </w:r>
          </w:p>
        </w:tc>
        <w:tc>
          <w:tcPr>
            <w:tcW w:w="729" w:type="dxa"/>
            <w:tcBorders>
              <w:top w:val="single" w:sz="4" w:space="0" w:color="000000"/>
            </w:tcBorders>
            <w:shd w:val="clear" w:color="auto" w:fill="62BD7A"/>
          </w:tcPr>
          <w:p>
            <w:pPr>
              <w:pStyle w:val="TableParagraph"/>
              <w:spacing w:before="3"/>
              <w:rPr>
                <w:sz w:val="12"/>
              </w:rPr>
            </w:pPr>
          </w:p>
          <w:p>
            <w:pPr>
              <w:pStyle w:val="TableParagraph"/>
              <w:ind w:right="201"/>
              <w:jc w:val="right"/>
              <w:rPr>
                <w:sz w:val="10"/>
              </w:rPr>
            </w:pPr>
            <w:r>
              <w:rPr>
                <w:sz w:val="10"/>
              </w:rPr>
              <w:t>100%</w:t>
            </w:r>
          </w:p>
        </w:tc>
        <w:tc>
          <w:tcPr>
            <w:tcW w:w="731" w:type="dxa"/>
            <w:tcBorders>
              <w:top w:val="single" w:sz="4" w:space="0" w:color="000000"/>
              <w:right w:val="single" w:sz="4" w:space="0" w:color="000000"/>
            </w:tcBorders>
            <w:shd w:val="clear" w:color="auto" w:fill="88C983"/>
          </w:tcPr>
          <w:p>
            <w:pPr>
              <w:pStyle w:val="TableParagraph"/>
              <w:spacing w:before="3"/>
              <w:rPr>
                <w:sz w:val="12"/>
              </w:rPr>
            </w:pPr>
          </w:p>
          <w:p>
            <w:pPr>
              <w:pStyle w:val="TableParagraph"/>
              <w:ind w:left="237" w:right="210"/>
              <w:jc w:val="center"/>
              <w:rPr>
                <w:sz w:val="10"/>
              </w:rPr>
            </w:pPr>
            <w:r>
              <w:rPr>
                <w:sz w:val="10"/>
              </w:rPr>
              <w:t>80%</w:t>
            </w:r>
          </w:p>
        </w:tc>
        <w:tc>
          <w:tcPr>
            <w:tcW w:w="728" w:type="dxa"/>
            <w:tcBorders>
              <w:top w:val="single" w:sz="4" w:space="0" w:color="000000"/>
              <w:left w:val="single" w:sz="4" w:space="0" w:color="000000"/>
            </w:tcBorders>
            <w:shd w:val="clear" w:color="auto" w:fill="62BD7A"/>
          </w:tcPr>
          <w:p>
            <w:pPr>
              <w:pStyle w:val="TableParagraph"/>
              <w:spacing w:before="3"/>
              <w:rPr>
                <w:sz w:val="12"/>
              </w:rPr>
            </w:pPr>
          </w:p>
          <w:p>
            <w:pPr>
              <w:pStyle w:val="TableParagraph"/>
              <w:ind w:left="220"/>
              <w:rPr>
                <w:sz w:val="10"/>
              </w:rPr>
            </w:pPr>
            <w:r>
              <w:rPr>
                <w:sz w:val="10"/>
              </w:rPr>
              <w:t>100%</w:t>
            </w:r>
          </w:p>
        </w:tc>
        <w:tc>
          <w:tcPr>
            <w:tcW w:w="728" w:type="dxa"/>
            <w:tcBorders>
              <w:top w:val="single" w:sz="4" w:space="0" w:color="000000"/>
            </w:tcBorders>
            <w:shd w:val="clear" w:color="auto" w:fill="62BD7A"/>
          </w:tcPr>
          <w:p>
            <w:pPr>
              <w:pStyle w:val="TableParagraph"/>
              <w:spacing w:before="3"/>
              <w:rPr>
                <w:sz w:val="12"/>
              </w:rPr>
            </w:pPr>
          </w:p>
          <w:p>
            <w:pPr>
              <w:pStyle w:val="TableParagraph"/>
              <w:ind w:left="209" w:right="179"/>
              <w:jc w:val="center"/>
              <w:rPr>
                <w:sz w:val="10"/>
              </w:rPr>
            </w:pPr>
            <w:r>
              <w:rPr>
                <w:sz w:val="10"/>
              </w:rPr>
              <w:t>100%</w:t>
            </w:r>
          </w:p>
        </w:tc>
        <w:tc>
          <w:tcPr>
            <w:tcW w:w="731" w:type="dxa"/>
            <w:tcBorders>
              <w:top w:val="single" w:sz="4" w:space="0" w:color="000000"/>
              <w:right w:val="single" w:sz="4" w:space="0" w:color="000000"/>
            </w:tcBorders>
            <w:shd w:val="clear" w:color="auto" w:fill="B0D68B"/>
          </w:tcPr>
          <w:p>
            <w:pPr>
              <w:pStyle w:val="TableParagraph"/>
              <w:spacing w:before="3"/>
              <w:rPr>
                <w:sz w:val="12"/>
              </w:rPr>
            </w:pPr>
          </w:p>
          <w:p>
            <w:pPr>
              <w:pStyle w:val="TableParagraph"/>
              <w:ind w:left="239" w:right="208"/>
              <w:jc w:val="center"/>
              <w:rPr>
                <w:sz w:val="10"/>
              </w:rPr>
            </w:pPr>
            <w:r>
              <w:rPr>
                <w:sz w:val="10"/>
              </w:rPr>
              <w:t>57%</w:t>
            </w:r>
          </w:p>
        </w:tc>
      </w:tr>
      <w:tr>
        <w:trPr>
          <w:trHeight w:val="422" w:hRule="atLeast"/>
        </w:trPr>
        <w:tc>
          <w:tcPr>
            <w:tcW w:w="2861" w:type="dxa"/>
            <w:tcBorders>
              <w:right w:val="single" w:sz="4" w:space="0" w:color="000000"/>
            </w:tcBorders>
          </w:tcPr>
          <w:p>
            <w:pPr>
              <w:pStyle w:val="TableParagraph"/>
              <w:spacing w:before="89"/>
              <w:ind w:left="116" w:right="429"/>
              <w:rPr>
                <w:sz w:val="10"/>
              </w:rPr>
            </w:pPr>
            <w:r>
              <w:rPr>
                <w:sz w:val="10"/>
              </w:rPr>
              <w:t>I am aw</w:t>
            </w:r>
            <w:r>
              <w:rPr>
                <w:b/>
                <w:sz w:val="10"/>
              </w:rPr>
              <w:t>are of my organisation's role </w:t>
            </w:r>
            <w:r>
              <w:rPr>
                <w:sz w:val="10"/>
              </w:rPr>
              <w:t>in achieving the intended objectives of Our Way</w:t>
            </w:r>
          </w:p>
        </w:tc>
        <w:tc>
          <w:tcPr>
            <w:tcW w:w="727" w:type="dxa"/>
            <w:tcBorders>
              <w:left w:val="single" w:sz="4" w:space="0" w:color="000000"/>
            </w:tcBorders>
            <w:shd w:val="clear" w:color="auto" w:fill="CDDF92"/>
          </w:tcPr>
          <w:p>
            <w:pPr>
              <w:pStyle w:val="TableParagraph"/>
              <w:spacing w:before="5"/>
              <w:rPr>
                <w:sz w:val="12"/>
              </w:rPr>
            </w:pPr>
          </w:p>
          <w:p>
            <w:pPr>
              <w:pStyle w:val="TableParagraph"/>
              <w:ind w:left="190" w:right="177"/>
              <w:jc w:val="center"/>
              <w:rPr>
                <w:sz w:val="10"/>
              </w:rPr>
            </w:pPr>
            <w:r>
              <w:rPr>
                <w:sz w:val="10"/>
              </w:rPr>
              <w:t>44%</w:t>
            </w:r>
          </w:p>
        </w:tc>
        <w:tc>
          <w:tcPr>
            <w:tcW w:w="727" w:type="dxa"/>
            <w:tcBorders>
              <w:right w:val="single" w:sz="4" w:space="0" w:color="000000"/>
            </w:tcBorders>
            <w:shd w:val="clear" w:color="auto" w:fill="A1D288"/>
          </w:tcPr>
          <w:p>
            <w:pPr>
              <w:pStyle w:val="TableParagraph"/>
              <w:spacing w:before="5"/>
              <w:rPr>
                <w:sz w:val="12"/>
              </w:rPr>
            </w:pPr>
          </w:p>
          <w:p>
            <w:pPr>
              <w:pStyle w:val="TableParagraph"/>
              <w:ind w:left="205" w:right="176"/>
              <w:jc w:val="center"/>
              <w:rPr>
                <w:sz w:val="10"/>
              </w:rPr>
            </w:pPr>
            <w:r>
              <w:rPr>
                <w:sz w:val="10"/>
              </w:rPr>
              <w:t>67%</w:t>
            </w:r>
          </w:p>
        </w:tc>
        <w:tc>
          <w:tcPr>
            <w:tcW w:w="730" w:type="dxa"/>
            <w:tcBorders>
              <w:left w:val="single" w:sz="4" w:space="0" w:color="000000"/>
            </w:tcBorders>
            <w:shd w:val="clear" w:color="auto" w:fill="DFE695"/>
          </w:tcPr>
          <w:p>
            <w:pPr>
              <w:pStyle w:val="TableParagraph"/>
              <w:spacing w:before="5"/>
              <w:rPr>
                <w:sz w:val="12"/>
              </w:rPr>
            </w:pPr>
          </w:p>
          <w:p>
            <w:pPr>
              <w:pStyle w:val="TableParagraph"/>
              <w:ind w:left="145" w:right="129"/>
              <w:jc w:val="center"/>
              <w:rPr>
                <w:sz w:val="10"/>
              </w:rPr>
            </w:pPr>
            <w:r>
              <w:rPr>
                <w:sz w:val="10"/>
              </w:rPr>
              <w:t>33%</w:t>
            </w:r>
          </w:p>
        </w:tc>
        <w:tc>
          <w:tcPr>
            <w:tcW w:w="727" w:type="dxa"/>
            <w:shd w:val="clear" w:color="auto" w:fill="ADD58A"/>
          </w:tcPr>
          <w:p>
            <w:pPr>
              <w:pStyle w:val="TableParagraph"/>
              <w:spacing w:before="5"/>
              <w:rPr>
                <w:sz w:val="12"/>
              </w:rPr>
            </w:pPr>
          </w:p>
          <w:p>
            <w:pPr>
              <w:pStyle w:val="TableParagraph"/>
              <w:ind w:left="203" w:right="184"/>
              <w:jc w:val="center"/>
              <w:rPr>
                <w:sz w:val="10"/>
              </w:rPr>
            </w:pPr>
            <w:r>
              <w:rPr>
                <w:sz w:val="10"/>
              </w:rPr>
              <w:t>60%</w:t>
            </w:r>
          </w:p>
        </w:tc>
        <w:tc>
          <w:tcPr>
            <w:tcW w:w="729" w:type="dxa"/>
            <w:shd w:val="clear" w:color="auto" w:fill="62BD7A"/>
          </w:tcPr>
          <w:p>
            <w:pPr>
              <w:pStyle w:val="TableParagraph"/>
              <w:spacing w:before="5"/>
              <w:rPr>
                <w:sz w:val="12"/>
              </w:rPr>
            </w:pPr>
          </w:p>
          <w:p>
            <w:pPr>
              <w:pStyle w:val="TableParagraph"/>
              <w:ind w:right="201"/>
              <w:jc w:val="right"/>
              <w:rPr>
                <w:sz w:val="10"/>
              </w:rPr>
            </w:pPr>
            <w:r>
              <w:rPr>
                <w:sz w:val="10"/>
              </w:rPr>
              <w:t>100%</w:t>
            </w:r>
          </w:p>
        </w:tc>
        <w:tc>
          <w:tcPr>
            <w:tcW w:w="731" w:type="dxa"/>
            <w:tcBorders>
              <w:right w:val="single" w:sz="4" w:space="0" w:color="000000"/>
            </w:tcBorders>
            <w:shd w:val="clear" w:color="auto" w:fill="ADD58A"/>
          </w:tcPr>
          <w:p>
            <w:pPr>
              <w:pStyle w:val="TableParagraph"/>
              <w:spacing w:before="5"/>
              <w:rPr>
                <w:sz w:val="12"/>
              </w:rPr>
            </w:pPr>
          </w:p>
          <w:p>
            <w:pPr>
              <w:pStyle w:val="TableParagraph"/>
              <w:ind w:left="237" w:right="210"/>
              <w:jc w:val="center"/>
              <w:rPr>
                <w:sz w:val="10"/>
              </w:rPr>
            </w:pPr>
            <w:r>
              <w:rPr>
                <w:sz w:val="10"/>
              </w:rPr>
              <w:t>60%</w:t>
            </w:r>
          </w:p>
        </w:tc>
        <w:tc>
          <w:tcPr>
            <w:tcW w:w="728" w:type="dxa"/>
            <w:tcBorders>
              <w:left w:val="single" w:sz="4" w:space="0" w:color="000000"/>
            </w:tcBorders>
            <w:shd w:val="clear" w:color="auto" w:fill="89CA84"/>
          </w:tcPr>
          <w:p>
            <w:pPr>
              <w:pStyle w:val="TableParagraph"/>
              <w:spacing w:before="5"/>
              <w:rPr>
                <w:sz w:val="12"/>
              </w:rPr>
            </w:pPr>
          </w:p>
          <w:p>
            <w:pPr>
              <w:pStyle w:val="TableParagraph"/>
              <w:ind w:left="251"/>
              <w:rPr>
                <w:sz w:val="10"/>
              </w:rPr>
            </w:pPr>
            <w:r>
              <w:rPr>
                <w:sz w:val="10"/>
              </w:rPr>
              <w:t>75%</w:t>
            </w:r>
          </w:p>
        </w:tc>
        <w:tc>
          <w:tcPr>
            <w:tcW w:w="728" w:type="dxa"/>
            <w:shd w:val="clear" w:color="auto" w:fill="62BD7A"/>
          </w:tcPr>
          <w:p>
            <w:pPr>
              <w:pStyle w:val="TableParagraph"/>
              <w:spacing w:before="5"/>
              <w:rPr>
                <w:sz w:val="12"/>
              </w:rPr>
            </w:pPr>
          </w:p>
          <w:p>
            <w:pPr>
              <w:pStyle w:val="TableParagraph"/>
              <w:ind w:left="209" w:right="179"/>
              <w:jc w:val="center"/>
              <w:rPr>
                <w:sz w:val="10"/>
              </w:rPr>
            </w:pPr>
            <w:r>
              <w:rPr>
                <w:sz w:val="10"/>
              </w:rPr>
              <w:t>100%</w:t>
            </w:r>
          </w:p>
        </w:tc>
        <w:tc>
          <w:tcPr>
            <w:tcW w:w="731" w:type="dxa"/>
            <w:tcBorders>
              <w:right w:val="single" w:sz="4" w:space="0" w:color="000000"/>
            </w:tcBorders>
            <w:shd w:val="clear" w:color="auto" w:fill="B0D68B"/>
          </w:tcPr>
          <w:p>
            <w:pPr>
              <w:pStyle w:val="TableParagraph"/>
              <w:spacing w:before="5"/>
              <w:rPr>
                <w:sz w:val="12"/>
              </w:rPr>
            </w:pPr>
          </w:p>
          <w:p>
            <w:pPr>
              <w:pStyle w:val="TableParagraph"/>
              <w:ind w:left="239" w:right="208"/>
              <w:jc w:val="center"/>
              <w:rPr>
                <w:sz w:val="10"/>
              </w:rPr>
            </w:pPr>
            <w:r>
              <w:rPr>
                <w:sz w:val="10"/>
              </w:rPr>
              <w:t>50%</w:t>
            </w:r>
          </w:p>
        </w:tc>
      </w:tr>
      <w:tr>
        <w:trPr>
          <w:trHeight w:val="420" w:hRule="atLeast"/>
        </w:trPr>
        <w:tc>
          <w:tcPr>
            <w:tcW w:w="2861" w:type="dxa"/>
            <w:tcBorders>
              <w:right w:val="single" w:sz="4" w:space="0" w:color="000000"/>
            </w:tcBorders>
          </w:tcPr>
          <w:p>
            <w:pPr>
              <w:pStyle w:val="TableParagraph"/>
              <w:spacing w:before="89"/>
              <w:ind w:left="116" w:right="377"/>
              <w:rPr>
                <w:sz w:val="10"/>
              </w:rPr>
            </w:pPr>
            <w:r>
              <w:rPr>
                <w:sz w:val="10"/>
              </w:rPr>
              <w:t>I </w:t>
            </w:r>
            <w:r>
              <w:rPr>
                <w:b/>
                <w:sz w:val="10"/>
              </w:rPr>
              <w:t>understand the intent of Our Way </w:t>
            </w:r>
            <w:r>
              <w:rPr>
                <w:sz w:val="10"/>
              </w:rPr>
              <w:t>and its objectives</w:t>
            </w:r>
          </w:p>
        </w:tc>
        <w:tc>
          <w:tcPr>
            <w:tcW w:w="727" w:type="dxa"/>
            <w:tcBorders>
              <w:left w:val="single" w:sz="4" w:space="0" w:color="000000"/>
            </w:tcBorders>
            <w:shd w:val="clear" w:color="auto" w:fill="92CD85"/>
          </w:tcPr>
          <w:p>
            <w:pPr>
              <w:pStyle w:val="TableParagraph"/>
              <w:spacing w:before="3"/>
              <w:rPr>
                <w:sz w:val="12"/>
              </w:rPr>
            </w:pPr>
          </w:p>
          <w:p>
            <w:pPr>
              <w:pStyle w:val="TableParagraph"/>
              <w:ind w:left="190" w:right="177"/>
              <w:jc w:val="center"/>
              <w:rPr>
                <w:sz w:val="10"/>
              </w:rPr>
            </w:pPr>
            <w:r>
              <w:rPr>
                <w:sz w:val="10"/>
              </w:rPr>
              <w:t>75%</w:t>
            </w:r>
          </w:p>
        </w:tc>
        <w:tc>
          <w:tcPr>
            <w:tcW w:w="727" w:type="dxa"/>
            <w:tcBorders>
              <w:right w:val="single" w:sz="4" w:space="0" w:color="000000"/>
            </w:tcBorders>
            <w:shd w:val="clear" w:color="auto" w:fill="83C782"/>
          </w:tcPr>
          <w:p>
            <w:pPr>
              <w:pStyle w:val="TableParagraph"/>
              <w:spacing w:before="3"/>
              <w:rPr>
                <w:sz w:val="12"/>
              </w:rPr>
            </w:pPr>
          </w:p>
          <w:p>
            <w:pPr>
              <w:pStyle w:val="TableParagraph"/>
              <w:ind w:left="205" w:right="176"/>
              <w:jc w:val="center"/>
              <w:rPr>
                <w:sz w:val="10"/>
              </w:rPr>
            </w:pPr>
            <w:r>
              <w:rPr>
                <w:sz w:val="10"/>
              </w:rPr>
              <w:t>83%</w:t>
            </w:r>
          </w:p>
        </w:tc>
        <w:tc>
          <w:tcPr>
            <w:tcW w:w="730" w:type="dxa"/>
            <w:tcBorders>
              <w:left w:val="single" w:sz="4" w:space="0" w:color="000000"/>
            </w:tcBorders>
            <w:shd w:val="clear" w:color="auto" w:fill="62BD7A"/>
          </w:tcPr>
          <w:p>
            <w:pPr>
              <w:pStyle w:val="TableParagraph"/>
              <w:spacing w:before="3"/>
              <w:rPr>
                <w:sz w:val="12"/>
              </w:rPr>
            </w:pPr>
          </w:p>
          <w:p>
            <w:pPr>
              <w:pStyle w:val="TableParagraph"/>
              <w:ind w:left="145" w:right="130"/>
              <w:jc w:val="center"/>
              <w:rPr>
                <w:sz w:val="10"/>
              </w:rPr>
            </w:pPr>
            <w:r>
              <w:rPr>
                <w:sz w:val="10"/>
              </w:rPr>
              <w:t>100%</w:t>
            </w:r>
          </w:p>
        </w:tc>
        <w:tc>
          <w:tcPr>
            <w:tcW w:w="727" w:type="dxa"/>
            <w:shd w:val="clear" w:color="auto" w:fill="62BD7A"/>
          </w:tcPr>
          <w:p>
            <w:pPr>
              <w:pStyle w:val="TableParagraph"/>
              <w:spacing w:before="3"/>
              <w:rPr>
                <w:sz w:val="12"/>
              </w:rPr>
            </w:pPr>
          </w:p>
          <w:p>
            <w:pPr>
              <w:pStyle w:val="TableParagraph"/>
              <w:ind w:left="203" w:right="185"/>
              <w:jc w:val="center"/>
              <w:rPr>
                <w:sz w:val="10"/>
              </w:rPr>
            </w:pPr>
            <w:r>
              <w:rPr>
                <w:sz w:val="10"/>
              </w:rPr>
              <w:t>100%</w:t>
            </w:r>
          </w:p>
        </w:tc>
        <w:tc>
          <w:tcPr>
            <w:tcW w:w="729" w:type="dxa"/>
            <w:shd w:val="clear" w:color="auto" w:fill="62BD7A"/>
          </w:tcPr>
          <w:p>
            <w:pPr>
              <w:pStyle w:val="TableParagraph"/>
              <w:spacing w:before="3"/>
              <w:rPr>
                <w:sz w:val="12"/>
              </w:rPr>
            </w:pPr>
          </w:p>
          <w:p>
            <w:pPr>
              <w:pStyle w:val="TableParagraph"/>
              <w:ind w:right="201"/>
              <w:jc w:val="right"/>
              <w:rPr>
                <w:sz w:val="10"/>
              </w:rPr>
            </w:pPr>
            <w:r>
              <w:rPr>
                <w:sz w:val="10"/>
              </w:rPr>
              <w:t>100%</w:t>
            </w:r>
          </w:p>
        </w:tc>
        <w:tc>
          <w:tcPr>
            <w:tcW w:w="731" w:type="dxa"/>
            <w:tcBorders>
              <w:right w:val="single" w:sz="4" w:space="0" w:color="000000"/>
            </w:tcBorders>
            <w:shd w:val="clear" w:color="auto" w:fill="ADD58A"/>
          </w:tcPr>
          <w:p>
            <w:pPr>
              <w:pStyle w:val="TableParagraph"/>
              <w:spacing w:before="3"/>
              <w:rPr>
                <w:sz w:val="12"/>
              </w:rPr>
            </w:pPr>
          </w:p>
          <w:p>
            <w:pPr>
              <w:pStyle w:val="TableParagraph"/>
              <w:ind w:left="237" w:right="210"/>
              <w:jc w:val="center"/>
              <w:rPr>
                <w:sz w:val="10"/>
              </w:rPr>
            </w:pPr>
            <w:r>
              <w:rPr>
                <w:sz w:val="10"/>
              </w:rPr>
              <w:t>60%</w:t>
            </w:r>
          </w:p>
        </w:tc>
        <w:tc>
          <w:tcPr>
            <w:tcW w:w="728" w:type="dxa"/>
            <w:tcBorders>
              <w:left w:val="single" w:sz="4" w:space="0" w:color="000000"/>
            </w:tcBorders>
            <w:shd w:val="clear" w:color="auto" w:fill="B0D68B"/>
          </w:tcPr>
          <w:p>
            <w:pPr>
              <w:pStyle w:val="TableParagraph"/>
              <w:spacing w:before="3"/>
              <w:rPr>
                <w:sz w:val="12"/>
              </w:rPr>
            </w:pPr>
          </w:p>
          <w:p>
            <w:pPr>
              <w:pStyle w:val="TableParagraph"/>
              <w:ind w:left="220"/>
              <w:rPr>
                <w:sz w:val="10"/>
              </w:rPr>
            </w:pPr>
            <w:r>
              <w:rPr>
                <w:sz w:val="10"/>
              </w:rPr>
              <w:t>100%</w:t>
            </w:r>
          </w:p>
        </w:tc>
        <w:tc>
          <w:tcPr>
            <w:tcW w:w="728" w:type="dxa"/>
            <w:shd w:val="clear" w:color="auto" w:fill="B0D68B"/>
          </w:tcPr>
          <w:p>
            <w:pPr>
              <w:pStyle w:val="TableParagraph"/>
              <w:spacing w:before="3"/>
              <w:rPr>
                <w:sz w:val="12"/>
              </w:rPr>
            </w:pPr>
          </w:p>
          <w:p>
            <w:pPr>
              <w:pStyle w:val="TableParagraph"/>
              <w:ind w:left="209" w:right="178"/>
              <w:jc w:val="center"/>
              <w:rPr>
                <w:sz w:val="10"/>
              </w:rPr>
            </w:pPr>
            <w:r>
              <w:rPr>
                <w:sz w:val="10"/>
              </w:rPr>
              <w:t>50%</w:t>
            </w:r>
          </w:p>
        </w:tc>
        <w:tc>
          <w:tcPr>
            <w:tcW w:w="731" w:type="dxa"/>
            <w:tcBorders>
              <w:right w:val="single" w:sz="4" w:space="0" w:color="000000"/>
            </w:tcBorders>
            <w:shd w:val="clear" w:color="auto" w:fill="6EC27D"/>
          </w:tcPr>
          <w:p>
            <w:pPr>
              <w:pStyle w:val="TableParagraph"/>
              <w:spacing w:before="3"/>
              <w:rPr>
                <w:sz w:val="12"/>
              </w:rPr>
            </w:pPr>
          </w:p>
          <w:p>
            <w:pPr>
              <w:pStyle w:val="TableParagraph"/>
              <w:ind w:left="239" w:right="208"/>
              <w:jc w:val="center"/>
              <w:rPr>
                <w:sz w:val="10"/>
              </w:rPr>
            </w:pPr>
            <w:r>
              <w:rPr>
                <w:sz w:val="10"/>
              </w:rPr>
              <w:t>93%</w:t>
            </w:r>
          </w:p>
        </w:tc>
      </w:tr>
      <w:tr>
        <w:trPr>
          <w:trHeight w:val="422" w:hRule="atLeast"/>
        </w:trPr>
        <w:tc>
          <w:tcPr>
            <w:tcW w:w="2861" w:type="dxa"/>
            <w:tcBorders>
              <w:right w:val="single" w:sz="4" w:space="0" w:color="000000"/>
            </w:tcBorders>
          </w:tcPr>
          <w:p>
            <w:pPr>
              <w:pStyle w:val="TableParagraph"/>
              <w:spacing w:before="89"/>
              <w:ind w:left="116"/>
              <w:rPr>
                <w:b/>
                <w:sz w:val="10"/>
              </w:rPr>
            </w:pPr>
            <w:r>
              <w:rPr>
                <w:sz w:val="10"/>
              </w:rPr>
              <w:t>I believe that our organisation </w:t>
            </w:r>
            <w:r>
              <w:rPr>
                <w:b/>
                <w:sz w:val="10"/>
              </w:rPr>
              <w:t>shares the vision</w:t>
            </w:r>
          </w:p>
          <w:p>
            <w:pPr>
              <w:pStyle w:val="TableParagraph"/>
              <w:spacing w:before="1"/>
              <w:ind w:left="116"/>
              <w:rPr>
                <w:sz w:val="10"/>
              </w:rPr>
            </w:pPr>
            <w:r>
              <w:rPr>
                <w:sz w:val="10"/>
              </w:rPr>
              <w:t>outlined in Our Way</w:t>
            </w:r>
          </w:p>
        </w:tc>
        <w:tc>
          <w:tcPr>
            <w:tcW w:w="727" w:type="dxa"/>
            <w:tcBorders>
              <w:left w:val="single" w:sz="4" w:space="0" w:color="000000"/>
            </w:tcBorders>
            <w:shd w:val="clear" w:color="auto" w:fill="B5D78D"/>
          </w:tcPr>
          <w:p>
            <w:pPr>
              <w:pStyle w:val="TableParagraph"/>
              <w:spacing w:before="3"/>
              <w:rPr>
                <w:sz w:val="12"/>
              </w:rPr>
            </w:pPr>
          </w:p>
          <w:p>
            <w:pPr>
              <w:pStyle w:val="TableParagraph"/>
              <w:ind w:left="190" w:right="177"/>
              <w:jc w:val="center"/>
              <w:rPr>
                <w:sz w:val="10"/>
              </w:rPr>
            </w:pPr>
            <w:r>
              <w:rPr>
                <w:sz w:val="10"/>
              </w:rPr>
              <w:t>56%</w:t>
            </w:r>
          </w:p>
        </w:tc>
        <w:tc>
          <w:tcPr>
            <w:tcW w:w="727" w:type="dxa"/>
            <w:tcBorders>
              <w:right w:val="single" w:sz="4" w:space="0" w:color="000000"/>
            </w:tcBorders>
            <w:shd w:val="clear" w:color="auto" w:fill="62BD7A"/>
          </w:tcPr>
          <w:p>
            <w:pPr>
              <w:pStyle w:val="TableParagraph"/>
              <w:spacing w:before="3"/>
              <w:rPr>
                <w:sz w:val="12"/>
              </w:rPr>
            </w:pPr>
          </w:p>
          <w:p>
            <w:pPr>
              <w:pStyle w:val="TableParagraph"/>
              <w:ind w:left="205" w:right="177"/>
              <w:jc w:val="center"/>
              <w:rPr>
                <w:sz w:val="10"/>
              </w:rPr>
            </w:pPr>
            <w:r>
              <w:rPr>
                <w:sz w:val="10"/>
              </w:rPr>
              <w:t>100%</w:t>
            </w:r>
          </w:p>
        </w:tc>
        <w:tc>
          <w:tcPr>
            <w:tcW w:w="730" w:type="dxa"/>
            <w:tcBorders>
              <w:left w:val="single" w:sz="4" w:space="0" w:color="000000"/>
            </w:tcBorders>
            <w:shd w:val="clear" w:color="auto" w:fill="A1D288"/>
          </w:tcPr>
          <w:p>
            <w:pPr>
              <w:pStyle w:val="TableParagraph"/>
              <w:spacing w:before="3"/>
              <w:rPr>
                <w:sz w:val="12"/>
              </w:rPr>
            </w:pPr>
          </w:p>
          <w:p>
            <w:pPr>
              <w:pStyle w:val="TableParagraph"/>
              <w:ind w:left="145" w:right="129"/>
              <w:jc w:val="center"/>
              <w:rPr>
                <w:sz w:val="10"/>
              </w:rPr>
            </w:pPr>
            <w:r>
              <w:rPr>
                <w:sz w:val="10"/>
              </w:rPr>
              <w:t>67%</w:t>
            </w:r>
          </w:p>
        </w:tc>
        <w:tc>
          <w:tcPr>
            <w:tcW w:w="727" w:type="dxa"/>
            <w:shd w:val="clear" w:color="auto" w:fill="62BD7A"/>
          </w:tcPr>
          <w:p>
            <w:pPr>
              <w:pStyle w:val="TableParagraph"/>
              <w:spacing w:before="3"/>
              <w:rPr>
                <w:sz w:val="12"/>
              </w:rPr>
            </w:pPr>
          </w:p>
          <w:p>
            <w:pPr>
              <w:pStyle w:val="TableParagraph"/>
              <w:ind w:left="203" w:right="185"/>
              <w:jc w:val="center"/>
              <w:rPr>
                <w:sz w:val="10"/>
              </w:rPr>
            </w:pPr>
            <w:r>
              <w:rPr>
                <w:sz w:val="10"/>
              </w:rPr>
              <w:t>100%</w:t>
            </w:r>
          </w:p>
        </w:tc>
        <w:tc>
          <w:tcPr>
            <w:tcW w:w="729" w:type="dxa"/>
            <w:shd w:val="clear" w:color="auto" w:fill="62BD7A"/>
          </w:tcPr>
          <w:p>
            <w:pPr>
              <w:pStyle w:val="TableParagraph"/>
              <w:spacing w:before="3"/>
              <w:rPr>
                <w:sz w:val="12"/>
              </w:rPr>
            </w:pPr>
          </w:p>
          <w:p>
            <w:pPr>
              <w:pStyle w:val="TableParagraph"/>
              <w:ind w:right="201"/>
              <w:jc w:val="right"/>
              <w:rPr>
                <w:sz w:val="10"/>
              </w:rPr>
            </w:pPr>
            <w:r>
              <w:rPr>
                <w:sz w:val="10"/>
              </w:rPr>
              <w:t>100%</w:t>
            </w:r>
          </w:p>
        </w:tc>
        <w:tc>
          <w:tcPr>
            <w:tcW w:w="731" w:type="dxa"/>
            <w:tcBorders>
              <w:right w:val="single" w:sz="4" w:space="0" w:color="000000"/>
            </w:tcBorders>
            <w:shd w:val="clear" w:color="auto" w:fill="ADD58A"/>
          </w:tcPr>
          <w:p>
            <w:pPr>
              <w:pStyle w:val="TableParagraph"/>
              <w:spacing w:before="3"/>
              <w:rPr>
                <w:sz w:val="12"/>
              </w:rPr>
            </w:pPr>
          </w:p>
          <w:p>
            <w:pPr>
              <w:pStyle w:val="TableParagraph"/>
              <w:ind w:left="237" w:right="210"/>
              <w:jc w:val="center"/>
              <w:rPr>
                <w:sz w:val="10"/>
              </w:rPr>
            </w:pPr>
            <w:r>
              <w:rPr>
                <w:sz w:val="10"/>
              </w:rPr>
              <w:t>60%</w:t>
            </w:r>
          </w:p>
        </w:tc>
        <w:tc>
          <w:tcPr>
            <w:tcW w:w="728" w:type="dxa"/>
            <w:tcBorders>
              <w:left w:val="single" w:sz="4" w:space="0" w:color="000000"/>
            </w:tcBorders>
            <w:shd w:val="clear" w:color="auto" w:fill="89CA84"/>
          </w:tcPr>
          <w:p>
            <w:pPr>
              <w:pStyle w:val="TableParagraph"/>
              <w:spacing w:before="3"/>
              <w:rPr>
                <w:sz w:val="12"/>
              </w:rPr>
            </w:pPr>
          </w:p>
          <w:p>
            <w:pPr>
              <w:pStyle w:val="TableParagraph"/>
              <w:ind w:left="251"/>
              <w:rPr>
                <w:sz w:val="10"/>
              </w:rPr>
            </w:pPr>
            <w:r>
              <w:rPr>
                <w:sz w:val="10"/>
              </w:rPr>
              <w:t>75%</w:t>
            </w:r>
          </w:p>
        </w:tc>
        <w:tc>
          <w:tcPr>
            <w:tcW w:w="728" w:type="dxa"/>
            <w:shd w:val="clear" w:color="auto" w:fill="62BD7A"/>
          </w:tcPr>
          <w:p>
            <w:pPr>
              <w:pStyle w:val="TableParagraph"/>
              <w:spacing w:before="3"/>
              <w:rPr>
                <w:sz w:val="12"/>
              </w:rPr>
            </w:pPr>
          </w:p>
          <w:p>
            <w:pPr>
              <w:pStyle w:val="TableParagraph"/>
              <w:ind w:left="209" w:right="179"/>
              <w:jc w:val="center"/>
              <w:rPr>
                <w:sz w:val="10"/>
              </w:rPr>
            </w:pPr>
            <w:r>
              <w:rPr>
                <w:sz w:val="10"/>
              </w:rPr>
              <w:t>100%</w:t>
            </w:r>
          </w:p>
        </w:tc>
        <w:tc>
          <w:tcPr>
            <w:tcW w:w="731" w:type="dxa"/>
            <w:tcBorders>
              <w:right w:val="single" w:sz="4" w:space="0" w:color="000000"/>
            </w:tcBorders>
            <w:shd w:val="clear" w:color="auto" w:fill="85C883"/>
          </w:tcPr>
          <w:p>
            <w:pPr>
              <w:pStyle w:val="TableParagraph"/>
              <w:spacing w:before="3"/>
              <w:rPr>
                <w:sz w:val="12"/>
              </w:rPr>
            </w:pPr>
          </w:p>
          <w:p>
            <w:pPr>
              <w:pStyle w:val="TableParagraph"/>
              <w:ind w:left="239" w:right="208"/>
              <w:jc w:val="center"/>
              <w:rPr>
                <w:sz w:val="10"/>
              </w:rPr>
            </w:pPr>
            <w:r>
              <w:rPr>
                <w:sz w:val="10"/>
              </w:rPr>
              <w:t>79%</w:t>
            </w:r>
          </w:p>
        </w:tc>
      </w:tr>
      <w:tr>
        <w:trPr>
          <w:trHeight w:val="419" w:hRule="atLeast"/>
        </w:trPr>
        <w:tc>
          <w:tcPr>
            <w:tcW w:w="2861" w:type="dxa"/>
            <w:tcBorders>
              <w:right w:val="single" w:sz="4" w:space="0" w:color="000000"/>
            </w:tcBorders>
          </w:tcPr>
          <w:p>
            <w:pPr>
              <w:pStyle w:val="TableParagraph"/>
              <w:spacing w:before="86"/>
              <w:ind w:left="116" w:right="102"/>
              <w:rPr>
                <w:sz w:val="10"/>
              </w:rPr>
            </w:pPr>
            <w:r>
              <w:rPr>
                <w:sz w:val="10"/>
              </w:rPr>
              <w:t>I have heard leaders in my organisation </w:t>
            </w:r>
            <w:r>
              <w:rPr>
                <w:b/>
                <w:sz w:val="10"/>
              </w:rPr>
              <w:t>outwardly vocalise their support </w:t>
            </w:r>
            <w:r>
              <w:rPr>
                <w:sz w:val="10"/>
              </w:rPr>
              <w:t>for Our Way</w:t>
            </w:r>
          </w:p>
        </w:tc>
        <w:tc>
          <w:tcPr>
            <w:tcW w:w="727" w:type="dxa"/>
            <w:tcBorders>
              <w:left w:val="single" w:sz="4" w:space="0" w:color="000000"/>
            </w:tcBorders>
            <w:shd w:val="clear" w:color="auto" w:fill="E3E796"/>
          </w:tcPr>
          <w:p>
            <w:pPr>
              <w:pStyle w:val="TableParagraph"/>
              <w:spacing w:before="3"/>
              <w:rPr>
                <w:sz w:val="12"/>
              </w:rPr>
            </w:pPr>
          </w:p>
          <w:p>
            <w:pPr>
              <w:pStyle w:val="TableParagraph"/>
              <w:ind w:left="190" w:right="177"/>
              <w:jc w:val="center"/>
              <w:rPr>
                <w:sz w:val="10"/>
              </w:rPr>
            </w:pPr>
            <w:r>
              <w:rPr>
                <w:sz w:val="10"/>
              </w:rPr>
              <w:t>31%</w:t>
            </w:r>
          </w:p>
        </w:tc>
        <w:tc>
          <w:tcPr>
            <w:tcW w:w="727" w:type="dxa"/>
            <w:tcBorders>
              <w:right w:val="single" w:sz="4" w:space="0" w:color="000000"/>
            </w:tcBorders>
            <w:shd w:val="clear" w:color="auto" w:fill="C1DC8F"/>
          </w:tcPr>
          <w:p>
            <w:pPr>
              <w:pStyle w:val="TableParagraph"/>
              <w:spacing w:before="3"/>
              <w:rPr>
                <w:sz w:val="12"/>
              </w:rPr>
            </w:pPr>
          </w:p>
          <w:p>
            <w:pPr>
              <w:pStyle w:val="TableParagraph"/>
              <w:ind w:left="205" w:right="176"/>
              <w:jc w:val="center"/>
              <w:rPr>
                <w:sz w:val="10"/>
              </w:rPr>
            </w:pPr>
            <w:r>
              <w:rPr>
                <w:sz w:val="10"/>
              </w:rPr>
              <w:t>50%</w:t>
            </w:r>
          </w:p>
        </w:tc>
        <w:tc>
          <w:tcPr>
            <w:tcW w:w="730" w:type="dxa"/>
            <w:tcBorders>
              <w:left w:val="single" w:sz="4" w:space="0" w:color="000000"/>
            </w:tcBorders>
            <w:shd w:val="clear" w:color="auto" w:fill="FFEE9C"/>
          </w:tcPr>
          <w:p>
            <w:pPr>
              <w:pStyle w:val="TableParagraph"/>
              <w:spacing w:before="3"/>
              <w:rPr>
                <w:sz w:val="12"/>
              </w:rPr>
            </w:pPr>
          </w:p>
          <w:p>
            <w:pPr>
              <w:pStyle w:val="TableParagraph"/>
              <w:ind w:left="145" w:right="129"/>
              <w:jc w:val="center"/>
              <w:rPr>
                <w:sz w:val="10"/>
              </w:rPr>
            </w:pPr>
            <w:r>
              <w:rPr>
                <w:sz w:val="10"/>
              </w:rPr>
              <w:t>17%</w:t>
            </w:r>
          </w:p>
        </w:tc>
        <w:tc>
          <w:tcPr>
            <w:tcW w:w="727" w:type="dxa"/>
            <w:shd w:val="clear" w:color="auto" w:fill="ADD58A"/>
          </w:tcPr>
          <w:p>
            <w:pPr>
              <w:pStyle w:val="TableParagraph"/>
              <w:spacing w:before="3"/>
              <w:rPr>
                <w:sz w:val="12"/>
              </w:rPr>
            </w:pPr>
          </w:p>
          <w:p>
            <w:pPr>
              <w:pStyle w:val="TableParagraph"/>
              <w:ind w:left="203" w:right="184"/>
              <w:jc w:val="center"/>
              <w:rPr>
                <w:sz w:val="10"/>
              </w:rPr>
            </w:pPr>
            <w:r>
              <w:rPr>
                <w:sz w:val="10"/>
              </w:rPr>
              <w:t>60%</w:t>
            </w:r>
          </w:p>
        </w:tc>
        <w:tc>
          <w:tcPr>
            <w:tcW w:w="729" w:type="dxa"/>
            <w:shd w:val="clear" w:color="auto" w:fill="62BD7A"/>
          </w:tcPr>
          <w:p>
            <w:pPr>
              <w:pStyle w:val="TableParagraph"/>
              <w:spacing w:before="3"/>
              <w:rPr>
                <w:sz w:val="12"/>
              </w:rPr>
            </w:pPr>
          </w:p>
          <w:p>
            <w:pPr>
              <w:pStyle w:val="TableParagraph"/>
              <w:ind w:right="201"/>
              <w:jc w:val="right"/>
              <w:rPr>
                <w:sz w:val="10"/>
              </w:rPr>
            </w:pPr>
            <w:r>
              <w:rPr>
                <w:sz w:val="10"/>
              </w:rPr>
              <w:t>100%</w:t>
            </w:r>
          </w:p>
        </w:tc>
        <w:tc>
          <w:tcPr>
            <w:tcW w:w="731" w:type="dxa"/>
            <w:tcBorders>
              <w:right w:val="single" w:sz="4" w:space="0" w:color="000000"/>
            </w:tcBorders>
            <w:shd w:val="clear" w:color="auto" w:fill="D3E192"/>
          </w:tcPr>
          <w:p>
            <w:pPr>
              <w:pStyle w:val="TableParagraph"/>
              <w:spacing w:before="3"/>
              <w:rPr>
                <w:sz w:val="12"/>
              </w:rPr>
            </w:pPr>
          </w:p>
          <w:p>
            <w:pPr>
              <w:pStyle w:val="TableParagraph"/>
              <w:ind w:left="237" w:right="210"/>
              <w:jc w:val="center"/>
              <w:rPr>
                <w:sz w:val="10"/>
              </w:rPr>
            </w:pPr>
            <w:r>
              <w:rPr>
                <w:sz w:val="10"/>
              </w:rPr>
              <w:t>40%</w:t>
            </w:r>
          </w:p>
        </w:tc>
        <w:tc>
          <w:tcPr>
            <w:tcW w:w="728" w:type="dxa"/>
            <w:tcBorders>
              <w:left w:val="single" w:sz="4" w:space="0" w:color="000000"/>
            </w:tcBorders>
            <w:shd w:val="clear" w:color="auto" w:fill="62BD7A"/>
          </w:tcPr>
          <w:p>
            <w:pPr>
              <w:pStyle w:val="TableParagraph"/>
              <w:spacing w:before="3"/>
              <w:rPr>
                <w:sz w:val="12"/>
              </w:rPr>
            </w:pPr>
          </w:p>
          <w:p>
            <w:pPr>
              <w:pStyle w:val="TableParagraph"/>
              <w:ind w:left="251"/>
              <w:rPr>
                <w:sz w:val="10"/>
              </w:rPr>
            </w:pPr>
            <w:r>
              <w:rPr>
                <w:sz w:val="10"/>
              </w:rPr>
              <w:t>50%</w:t>
            </w:r>
          </w:p>
        </w:tc>
        <w:tc>
          <w:tcPr>
            <w:tcW w:w="728" w:type="dxa"/>
            <w:shd w:val="clear" w:color="auto" w:fill="62BD7A"/>
          </w:tcPr>
          <w:p>
            <w:pPr>
              <w:pStyle w:val="TableParagraph"/>
              <w:spacing w:before="3"/>
              <w:rPr>
                <w:sz w:val="12"/>
              </w:rPr>
            </w:pPr>
          </w:p>
          <w:p>
            <w:pPr>
              <w:pStyle w:val="TableParagraph"/>
              <w:ind w:left="209" w:right="179"/>
              <w:jc w:val="center"/>
              <w:rPr>
                <w:sz w:val="10"/>
              </w:rPr>
            </w:pPr>
            <w:r>
              <w:rPr>
                <w:sz w:val="10"/>
              </w:rPr>
              <w:t>100%</w:t>
            </w:r>
          </w:p>
        </w:tc>
        <w:tc>
          <w:tcPr>
            <w:tcW w:w="731" w:type="dxa"/>
            <w:tcBorders>
              <w:right w:val="single" w:sz="4" w:space="0" w:color="000000"/>
            </w:tcBorders>
            <w:shd w:val="clear" w:color="auto" w:fill="C7DE91"/>
          </w:tcPr>
          <w:p>
            <w:pPr>
              <w:pStyle w:val="TableParagraph"/>
              <w:spacing w:before="3"/>
              <w:rPr>
                <w:sz w:val="12"/>
              </w:rPr>
            </w:pPr>
          </w:p>
          <w:p>
            <w:pPr>
              <w:pStyle w:val="TableParagraph"/>
              <w:ind w:left="239" w:right="208"/>
              <w:jc w:val="center"/>
              <w:rPr>
                <w:sz w:val="10"/>
              </w:rPr>
            </w:pPr>
            <w:r>
              <w:rPr>
                <w:sz w:val="10"/>
              </w:rPr>
              <w:t>36%</w:t>
            </w:r>
          </w:p>
        </w:tc>
      </w:tr>
      <w:tr>
        <w:trPr>
          <w:trHeight w:val="422" w:hRule="atLeast"/>
        </w:trPr>
        <w:tc>
          <w:tcPr>
            <w:tcW w:w="2861" w:type="dxa"/>
            <w:tcBorders>
              <w:right w:val="single" w:sz="4" w:space="0" w:color="000000"/>
            </w:tcBorders>
          </w:tcPr>
          <w:p>
            <w:pPr>
              <w:pStyle w:val="TableParagraph"/>
              <w:spacing w:before="89"/>
              <w:ind w:left="116" w:right="122"/>
              <w:rPr>
                <w:b/>
                <w:sz w:val="10"/>
              </w:rPr>
            </w:pPr>
            <w:r>
              <w:rPr>
                <w:sz w:val="10"/>
              </w:rPr>
              <w:t>I believe that the governance structures supporting Our Way are </w:t>
            </w:r>
            <w:r>
              <w:rPr>
                <w:b/>
                <w:sz w:val="10"/>
              </w:rPr>
              <w:t>clear</w:t>
            </w:r>
          </w:p>
        </w:tc>
        <w:tc>
          <w:tcPr>
            <w:tcW w:w="727" w:type="dxa"/>
            <w:tcBorders>
              <w:left w:val="single" w:sz="4" w:space="0" w:color="000000"/>
            </w:tcBorders>
            <w:shd w:val="clear" w:color="auto" w:fill="D7E293"/>
          </w:tcPr>
          <w:p>
            <w:pPr>
              <w:pStyle w:val="TableParagraph"/>
              <w:spacing w:before="3"/>
              <w:rPr>
                <w:sz w:val="12"/>
              </w:rPr>
            </w:pPr>
          </w:p>
          <w:p>
            <w:pPr>
              <w:pStyle w:val="TableParagraph"/>
              <w:ind w:left="190" w:right="177"/>
              <w:jc w:val="center"/>
              <w:rPr>
                <w:sz w:val="10"/>
              </w:rPr>
            </w:pPr>
            <w:r>
              <w:rPr>
                <w:sz w:val="10"/>
              </w:rPr>
              <w:t>38%</w:t>
            </w:r>
          </w:p>
        </w:tc>
        <w:tc>
          <w:tcPr>
            <w:tcW w:w="727" w:type="dxa"/>
            <w:tcBorders>
              <w:right w:val="single" w:sz="4" w:space="0" w:color="000000"/>
            </w:tcBorders>
            <w:shd w:val="clear" w:color="auto" w:fill="FFEE9C"/>
          </w:tcPr>
          <w:p>
            <w:pPr>
              <w:pStyle w:val="TableParagraph"/>
              <w:spacing w:before="3"/>
              <w:rPr>
                <w:sz w:val="12"/>
              </w:rPr>
            </w:pPr>
          </w:p>
          <w:p>
            <w:pPr>
              <w:pStyle w:val="TableParagraph"/>
              <w:ind w:left="205" w:right="176"/>
              <w:jc w:val="center"/>
              <w:rPr>
                <w:sz w:val="10"/>
              </w:rPr>
            </w:pPr>
            <w:r>
              <w:rPr>
                <w:sz w:val="10"/>
              </w:rPr>
              <w:t>17%</w:t>
            </w:r>
          </w:p>
        </w:tc>
        <w:tc>
          <w:tcPr>
            <w:tcW w:w="730" w:type="dxa"/>
            <w:tcBorders>
              <w:left w:val="single" w:sz="4" w:space="0" w:color="000000"/>
            </w:tcBorders>
            <w:shd w:val="clear" w:color="auto" w:fill="FFEE9C"/>
          </w:tcPr>
          <w:p>
            <w:pPr>
              <w:pStyle w:val="TableParagraph"/>
              <w:spacing w:before="3"/>
              <w:rPr>
                <w:sz w:val="12"/>
              </w:rPr>
            </w:pPr>
          </w:p>
          <w:p>
            <w:pPr>
              <w:pStyle w:val="TableParagraph"/>
              <w:ind w:left="145" w:right="129"/>
              <w:jc w:val="center"/>
              <w:rPr>
                <w:sz w:val="10"/>
              </w:rPr>
            </w:pPr>
            <w:r>
              <w:rPr>
                <w:sz w:val="10"/>
              </w:rPr>
              <w:t>17%</w:t>
            </w:r>
          </w:p>
        </w:tc>
        <w:tc>
          <w:tcPr>
            <w:tcW w:w="727" w:type="dxa"/>
            <w:shd w:val="clear" w:color="auto" w:fill="ADD58A"/>
          </w:tcPr>
          <w:p>
            <w:pPr>
              <w:pStyle w:val="TableParagraph"/>
              <w:spacing w:before="3"/>
              <w:rPr>
                <w:sz w:val="12"/>
              </w:rPr>
            </w:pPr>
          </w:p>
          <w:p>
            <w:pPr>
              <w:pStyle w:val="TableParagraph"/>
              <w:ind w:left="203" w:right="184"/>
              <w:jc w:val="center"/>
              <w:rPr>
                <w:sz w:val="10"/>
              </w:rPr>
            </w:pPr>
            <w:r>
              <w:rPr>
                <w:sz w:val="10"/>
              </w:rPr>
              <w:t>60%</w:t>
            </w:r>
          </w:p>
        </w:tc>
        <w:tc>
          <w:tcPr>
            <w:tcW w:w="729" w:type="dxa"/>
            <w:shd w:val="clear" w:color="auto" w:fill="62BD7A"/>
          </w:tcPr>
          <w:p>
            <w:pPr>
              <w:pStyle w:val="TableParagraph"/>
              <w:spacing w:before="3"/>
              <w:rPr>
                <w:sz w:val="12"/>
              </w:rPr>
            </w:pPr>
          </w:p>
          <w:p>
            <w:pPr>
              <w:pStyle w:val="TableParagraph"/>
              <w:ind w:right="201"/>
              <w:jc w:val="right"/>
              <w:rPr>
                <w:sz w:val="10"/>
              </w:rPr>
            </w:pPr>
            <w:r>
              <w:rPr>
                <w:sz w:val="10"/>
              </w:rPr>
              <w:t>100%</w:t>
            </w:r>
          </w:p>
        </w:tc>
        <w:tc>
          <w:tcPr>
            <w:tcW w:w="731" w:type="dxa"/>
            <w:tcBorders>
              <w:right w:val="single" w:sz="4" w:space="0" w:color="000000"/>
            </w:tcBorders>
            <w:shd w:val="clear" w:color="auto" w:fill="F8ED9B"/>
          </w:tcPr>
          <w:p>
            <w:pPr>
              <w:pStyle w:val="TableParagraph"/>
              <w:spacing w:before="3"/>
              <w:rPr>
                <w:sz w:val="12"/>
              </w:rPr>
            </w:pPr>
          </w:p>
          <w:p>
            <w:pPr>
              <w:pStyle w:val="TableParagraph"/>
              <w:ind w:left="237" w:right="210"/>
              <w:jc w:val="center"/>
              <w:rPr>
                <w:sz w:val="10"/>
              </w:rPr>
            </w:pPr>
            <w:r>
              <w:rPr>
                <w:sz w:val="10"/>
              </w:rPr>
              <w:t>20%</w:t>
            </w:r>
          </w:p>
        </w:tc>
        <w:tc>
          <w:tcPr>
            <w:tcW w:w="728" w:type="dxa"/>
            <w:tcBorders>
              <w:left w:val="single" w:sz="4" w:space="0" w:color="000000"/>
            </w:tcBorders>
            <w:shd w:val="clear" w:color="auto" w:fill="89CA84"/>
          </w:tcPr>
          <w:p>
            <w:pPr>
              <w:pStyle w:val="TableParagraph"/>
              <w:spacing w:before="3"/>
              <w:rPr>
                <w:sz w:val="12"/>
              </w:rPr>
            </w:pPr>
          </w:p>
          <w:p>
            <w:pPr>
              <w:pStyle w:val="TableParagraph"/>
              <w:ind w:left="251"/>
              <w:rPr>
                <w:sz w:val="10"/>
              </w:rPr>
            </w:pPr>
            <w:r>
              <w:rPr>
                <w:sz w:val="10"/>
              </w:rPr>
              <w:t>75%</w:t>
            </w:r>
          </w:p>
        </w:tc>
        <w:tc>
          <w:tcPr>
            <w:tcW w:w="728" w:type="dxa"/>
            <w:shd w:val="clear" w:color="auto" w:fill="FFEE9C"/>
          </w:tcPr>
          <w:p>
            <w:pPr>
              <w:pStyle w:val="TableParagraph"/>
              <w:spacing w:before="3"/>
              <w:rPr>
                <w:sz w:val="12"/>
              </w:rPr>
            </w:pPr>
          </w:p>
          <w:p>
            <w:pPr>
              <w:pStyle w:val="TableParagraph"/>
              <w:ind w:left="208" w:right="179"/>
              <w:jc w:val="center"/>
              <w:rPr>
                <w:sz w:val="10"/>
              </w:rPr>
            </w:pPr>
            <w:r>
              <w:rPr>
                <w:sz w:val="10"/>
              </w:rPr>
              <w:t>0%</w:t>
            </w:r>
          </w:p>
        </w:tc>
        <w:tc>
          <w:tcPr>
            <w:tcW w:w="731" w:type="dxa"/>
            <w:tcBorders>
              <w:right w:val="single" w:sz="4" w:space="0" w:color="000000"/>
            </w:tcBorders>
            <w:shd w:val="clear" w:color="auto" w:fill="C7DE91"/>
          </w:tcPr>
          <w:p>
            <w:pPr>
              <w:pStyle w:val="TableParagraph"/>
              <w:spacing w:before="3"/>
              <w:rPr>
                <w:sz w:val="12"/>
              </w:rPr>
            </w:pPr>
          </w:p>
          <w:p>
            <w:pPr>
              <w:pStyle w:val="TableParagraph"/>
              <w:ind w:left="239" w:right="208"/>
              <w:jc w:val="center"/>
              <w:rPr>
                <w:sz w:val="10"/>
              </w:rPr>
            </w:pPr>
            <w:r>
              <w:rPr>
                <w:sz w:val="10"/>
              </w:rPr>
              <w:t>36%</w:t>
            </w:r>
          </w:p>
        </w:tc>
      </w:tr>
    </w:tbl>
    <w:p>
      <w:pPr>
        <w:pStyle w:val="BodyText"/>
        <w:spacing w:before="2"/>
        <w:rPr>
          <w:sz w:val="15"/>
        </w:rPr>
      </w:pPr>
    </w:p>
    <w:p>
      <w:pPr>
        <w:spacing w:before="101"/>
        <w:ind w:left="300" w:right="0" w:firstLine="0"/>
        <w:jc w:val="left"/>
        <w:rPr>
          <w:sz w:val="16"/>
        </w:rPr>
      </w:pPr>
      <w:r>
        <w:rPr>
          <w:color w:val="75787A"/>
          <w:sz w:val="16"/>
        </w:rPr>
        <w:t>Source: Deloitte Network Analysis Survey 2022 (total responses n=23)</w:t>
      </w:r>
    </w:p>
    <w:p>
      <w:pPr>
        <w:pStyle w:val="BodyText"/>
        <w:spacing w:before="5"/>
        <w:rPr>
          <w:sz w:val="21"/>
        </w:rPr>
      </w:pPr>
    </w:p>
    <w:p>
      <w:pPr>
        <w:pStyle w:val="BodyText"/>
        <w:spacing w:line="264" w:lineRule="auto"/>
        <w:ind w:left="300" w:right="734"/>
      </w:pPr>
      <w:r>
        <w:rPr/>
        <w:t>The network analysis survey revealed that all survey respondents who were in executive positions and 80 per cent of respondents in central policy and strategy positions were aware of </w:t>
      </w:r>
      <w:r>
        <w:rPr>
          <w:i/>
        </w:rPr>
        <w:t>Our Way </w:t>
      </w:r>
      <w:r>
        <w:rPr/>
        <w:t>and </w:t>
      </w:r>
      <w:r>
        <w:rPr>
          <w:i/>
        </w:rPr>
        <w:t>Changing Tracks</w:t>
      </w:r>
      <w:r>
        <w:rPr/>
        <w:t>, compared to 33 per cent of frontline service delivery workers. This is consistent with the key themes that emerged during stakeholder consultations. The interviewees commonly reported that while there is awareness and buy in at the executive level, this has not filtered out to the regions or to frontline service delivery. Some suggested that there had been missed opportunities at the beginning of the </w:t>
      </w:r>
      <w:r>
        <w:rPr>
          <w:i/>
        </w:rPr>
        <w:t>Our Way </w:t>
      </w:r>
      <w:r>
        <w:rPr/>
        <w:t>to clearly communicate what </w:t>
      </w:r>
      <w:r>
        <w:rPr>
          <w:i/>
        </w:rPr>
        <w:t>Our Way </w:t>
      </w:r>
      <w:r>
        <w:rPr/>
        <w:t>was and how it should be used by all system stakeholders. This view was also reported by community service providers (during the first phase of this evaluation) who expressed frustration at the lack of engagement to explain the purpose of </w:t>
      </w:r>
      <w:r>
        <w:rPr>
          <w:i/>
        </w:rPr>
        <w:t>Our Way</w:t>
      </w:r>
      <w:r>
        <w:rPr/>
        <w:t>.</w:t>
      </w:r>
    </w:p>
    <w:p>
      <w:pPr>
        <w:pStyle w:val="BodyText"/>
        <w:spacing w:line="264" w:lineRule="auto" w:before="163"/>
        <w:ind w:left="300" w:right="786"/>
      </w:pPr>
      <w:r>
        <w:rPr/>
        <w:t>Several suggestions were made during the interviews for how awareness and engagement at the regional and local service provider levels could be improved. For example, roadshows could be used to promote awareness of </w:t>
      </w:r>
      <w:r>
        <w:rPr>
          <w:i/>
        </w:rPr>
        <w:t>Our Way </w:t>
      </w:r>
      <w:r>
        <w:rPr/>
        <w:t>across the regions. Some stakeholders felt that central agencies could more actively build authorising environments via regular communication across all levels of their respective government agencies. They felt that it was important for central agencies to role model organisational changes aligned with </w:t>
      </w:r>
      <w:r>
        <w:rPr>
          <w:i/>
        </w:rPr>
        <w:t>Our Way’s </w:t>
      </w:r>
      <w:r>
        <w:rPr/>
        <w:t>vision to encourage innovation and reduce the likelihood of people defaulting to the same old ways of working.</w:t>
      </w:r>
    </w:p>
    <w:p>
      <w:pPr>
        <w:pStyle w:val="BodyText"/>
        <w:spacing w:line="264" w:lineRule="auto" w:before="166"/>
        <w:ind w:left="300" w:right="774"/>
        <w:jc w:val="both"/>
      </w:pPr>
      <w:r>
        <w:rPr/>
        <w:t>Interviewees suggested that awareness and buy-in of local service providers could be enhanced by incorporating </w:t>
      </w:r>
      <w:r>
        <w:rPr>
          <w:i/>
        </w:rPr>
        <w:t>Our Way </w:t>
      </w:r>
      <w:r>
        <w:rPr/>
        <w:t>into training and learning modules for frontline workers, involving people at all levels in the leadership of </w:t>
      </w:r>
      <w:r>
        <w:rPr>
          <w:i/>
        </w:rPr>
        <w:t>Our Way </w:t>
      </w:r>
      <w:r>
        <w:rPr/>
        <w:t>via community of practices, regular forums and knowledge</w:t>
      </w:r>
    </w:p>
    <w:p>
      <w:pPr>
        <w:pStyle w:val="BodyText"/>
        <w:spacing w:before="1"/>
        <w:rPr>
          <w:sz w:val="22"/>
        </w:rPr>
      </w:pPr>
      <w:r>
        <w:rPr/>
        <w:pict>
          <v:shape style="position:absolute;margin-left:72.024002pt;margin-top:15.67361pt;width:144.050pt;height:.1pt;mso-position-horizontal-relative:page;mso-position-vertical-relative:paragraph;z-index:-251537408;mso-wrap-distance-left:0;mso-wrap-distance-right:0" coordorigin="1440,313" coordsize="2881,0" path="m1440,313l4321,313e" filled="false" stroked="true" strokeweight=".50403pt" strokecolor="#000000">
            <v:path arrowok="t"/>
            <v:stroke dashstyle="solid"/>
            <w10:wrap type="topAndBottom"/>
          </v:shape>
        </w:pict>
      </w:r>
    </w:p>
    <w:p>
      <w:pPr>
        <w:pStyle w:val="BodyText"/>
        <w:spacing w:before="7"/>
        <w:rPr>
          <w:sz w:val="10"/>
        </w:rPr>
      </w:pPr>
    </w:p>
    <w:p>
      <w:pPr>
        <w:spacing w:line="244" w:lineRule="auto" w:before="101"/>
        <w:ind w:left="300" w:right="763" w:firstLine="0"/>
        <w:jc w:val="left"/>
        <w:rPr>
          <w:sz w:val="14"/>
        </w:rPr>
      </w:pPr>
      <w:r>
        <w:rPr>
          <w:position w:val="6"/>
          <w:sz w:val="10"/>
        </w:rPr>
        <w:t>13 </w:t>
      </w:r>
      <w:r>
        <w:rPr>
          <w:sz w:val="14"/>
        </w:rPr>
        <w:t>An example of where there has been considered thought and linkage is in the Working Together, Changing the Story: Youth Justice Strategy 2019-23 which references </w:t>
      </w:r>
      <w:r>
        <w:rPr>
          <w:i/>
          <w:sz w:val="14"/>
        </w:rPr>
        <w:t>Our Way</w:t>
      </w:r>
      <w:r>
        <w:rPr>
          <w:sz w:val="14"/>
        </w:rPr>
        <w:t>. The forthcoming second Youth Justice Strategy Action Plan will also explicitly link to </w:t>
      </w:r>
      <w:r>
        <w:rPr>
          <w:i/>
          <w:sz w:val="14"/>
        </w:rPr>
        <w:t>Our Way </w:t>
      </w:r>
      <w:r>
        <w:rPr>
          <w:sz w:val="14"/>
        </w:rPr>
        <w:t>to ensure the importance of the linkage is clear to all stakeholders.</w:t>
      </w:r>
    </w:p>
    <w:p>
      <w:pPr>
        <w:spacing w:after="0" w:line="244" w:lineRule="auto"/>
        <w:jc w:val="left"/>
        <w:rPr>
          <w:sz w:val="14"/>
        </w:rPr>
        <w:sectPr>
          <w:pgSz w:w="11910" w:h="16840"/>
          <w:pgMar w:header="650" w:footer="420" w:top="1340" w:bottom="620" w:left="1140" w:right="700"/>
        </w:sectPr>
      </w:pPr>
    </w:p>
    <w:p>
      <w:pPr>
        <w:pStyle w:val="BodyText"/>
        <w:spacing w:line="264" w:lineRule="auto" w:before="109"/>
        <w:ind w:left="300" w:right="847"/>
      </w:pPr>
      <w:r>
        <w:rPr/>
        <w:t>circles. The development of a Theory of Change and program logic model (see Chapt</w:t>
      </w:r>
      <w:hyperlink w:history="true" w:anchor="_bookmark81">
        <w:r>
          <w:rPr/>
          <w:t>er 6</w:t>
        </w:r>
      </w:hyperlink>
      <w:r>
        <w:rPr/>
        <w:t>) is intended to enable greater collaboration and alignment of actions among different agencies within the </w:t>
      </w:r>
      <w:r>
        <w:rPr>
          <w:i/>
        </w:rPr>
        <w:t>Our Way </w:t>
      </w:r>
      <w:r>
        <w:rPr/>
        <w:t>system.</w:t>
      </w:r>
    </w:p>
    <w:p>
      <w:pPr>
        <w:pStyle w:val="BodyText"/>
        <w:rPr>
          <w:sz w:val="19"/>
        </w:rPr>
      </w:pPr>
    </w:p>
    <w:p>
      <w:pPr>
        <w:pStyle w:val="Heading2"/>
        <w:numPr>
          <w:ilvl w:val="1"/>
          <w:numId w:val="32"/>
        </w:numPr>
        <w:tabs>
          <w:tab w:pos="1094" w:val="left" w:leader="none"/>
          <w:tab w:pos="1095" w:val="left" w:leader="none"/>
        </w:tabs>
        <w:spacing w:line="240" w:lineRule="auto" w:before="0" w:after="0"/>
        <w:ind w:left="1094" w:right="0" w:hanging="795"/>
        <w:jc w:val="left"/>
      </w:pPr>
      <w:bookmarkStart w:name="_bookmark53" w:id="85"/>
      <w:bookmarkEnd w:id="85"/>
      <w:r>
        <w:rPr>
          <w:b w:val="0"/>
        </w:rPr>
      </w:r>
      <w:bookmarkStart w:name="_bookmark53" w:id="86"/>
      <w:bookmarkEnd w:id="86"/>
      <w:r>
        <w:rPr>
          <w:color w:val="61B5E4"/>
        </w:rPr>
        <w:t>Act</w:t>
      </w:r>
      <w:r>
        <w:rPr>
          <w:color w:val="61B5E4"/>
        </w:rPr>
        <w:t>ions and changes to</w:t>
      </w:r>
      <w:r>
        <w:rPr>
          <w:color w:val="61B5E4"/>
          <w:spacing w:val="-5"/>
        </w:rPr>
        <w:t> </w:t>
      </w:r>
      <w:r>
        <w:rPr>
          <w:color w:val="61B5E4"/>
        </w:rPr>
        <w:t>date</w:t>
      </w:r>
    </w:p>
    <w:p>
      <w:pPr>
        <w:pStyle w:val="Heading4"/>
        <w:spacing w:line="264" w:lineRule="auto" w:before="20"/>
        <w:ind w:right="919"/>
      </w:pPr>
      <w:r>
        <w:rPr>
          <w:color w:val="0096A9"/>
        </w:rPr>
        <w:t>There is evidence that </w:t>
      </w:r>
      <w:r>
        <w:rPr>
          <w:i/>
          <w:color w:val="0096A9"/>
        </w:rPr>
        <w:t>Our Way </w:t>
      </w:r>
      <w:r>
        <w:rPr>
          <w:color w:val="0096A9"/>
        </w:rPr>
        <w:t>has led to some positive changes in the way organisations make decisions, undertake strategic planning and implement processes which support self-determination among Aboriginal and Torres Strait Islander peoples. However, survey responses indicate scope for these changes to take place at a larger scale and across more organisations.</w:t>
      </w:r>
    </w:p>
    <w:p>
      <w:pPr>
        <w:pStyle w:val="BodyText"/>
        <w:spacing w:line="264" w:lineRule="auto" w:before="168"/>
        <w:ind w:left="300" w:right="1139"/>
      </w:pPr>
      <w:hyperlink w:history="true" w:anchor="_bookmark54">
        <w:r>
          <w:rPr/>
          <w:t>Chart 4.2 </w:t>
        </w:r>
      </w:hyperlink>
      <w:r>
        <w:rPr/>
        <w:t>outlines the responses to survey questions which related to actions undertaken and changes observed since the implementation of </w:t>
      </w:r>
      <w:r>
        <w:rPr>
          <w:i/>
        </w:rPr>
        <w:t>Our Way</w:t>
      </w:r>
      <w:r>
        <w:rPr/>
        <w:t>. The level of agreement to statements ranged between 50 to 70 per cent. For example:</w:t>
      </w:r>
    </w:p>
    <w:p>
      <w:pPr>
        <w:pStyle w:val="ListParagraph"/>
        <w:numPr>
          <w:ilvl w:val="1"/>
          <w:numId w:val="33"/>
        </w:numPr>
        <w:tabs>
          <w:tab w:pos="661" w:val="left" w:leader="none"/>
        </w:tabs>
        <w:spacing w:line="261" w:lineRule="auto" w:before="166" w:after="0"/>
        <w:ind w:left="660" w:right="1011" w:hanging="360"/>
        <w:jc w:val="both"/>
        <w:rPr>
          <w:sz w:val="18"/>
        </w:rPr>
      </w:pPr>
      <w:r>
        <w:rPr>
          <w:sz w:val="18"/>
        </w:rPr>
        <w:t>Two-thirds of survey respondents agreed that their organisation has implemented processes that genuinely provide mechanisms for young people and families to have a say in decisions that affect them, compared to 12 per cent who</w:t>
      </w:r>
      <w:r>
        <w:rPr>
          <w:spacing w:val="-7"/>
          <w:sz w:val="18"/>
        </w:rPr>
        <w:t> </w:t>
      </w:r>
      <w:r>
        <w:rPr>
          <w:sz w:val="18"/>
        </w:rPr>
        <w:t>disagreed.</w:t>
      </w:r>
    </w:p>
    <w:p>
      <w:pPr>
        <w:pStyle w:val="ListParagraph"/>
        <w:numPr>
          <w:ilvl w:val="1"/>
          <w:numId w:val="33"/>
        </w:numPr>
        <w:tabs>
          <w:tab w:pos="660" w:val="left" w:leader="none"/>
          <w:tab w:pos="661" w:val="left" w:leader="none"/>
        </w:tabs>
        <w:spacing w:line="261" w:lineRule="auto" w:before="3" w:after="0"/>
        <w:ind w:left="660" w:right="799" w:hanging="360"/>
        <w:jc w:val="left"/>
        <w:rPr>
          <w:sz w:val="18"/>
        </w:rPr>
      </w:pPr>
      <w:r>
        <w:rPr>
          <w:sz w:val="18"/>
        </w:rPr>
        <w:t>60 per cent of survey respondents observed that their organisation has already started working in a new or different way, compared to 18 per cent who disagreed. A similar proportion of survey respondents said they have seen examples of changes in decision making in their organisation to be better aligned with the intent and objectives of </w:t>
      </w:r>
      <w:r>
        <w:rPr>
          <w:i/>
          <w:sz w:val="18"/>
        </w:rPr>
        <w:t>Our Way</w:t>
      </w:r>
      <w:r>
        <w:rPr>
          <w:sz w:val="18"/>
        </w:rPr>
        <w:t>. This may reflect recent legislative changes related to delegated authority that were led by</w:t>
      </w:r>
      <w:r>
        <w:rPr>
          <w:spacing w:val="-26"/>
          <w:sz w:val="18"/>
        </w:rPr>
        <w:t> </w:t>
      </w:r>
      <w:r>
        <w:rPr>
          <w:sz w:val="18"/>
        </w:rPr>
        <w:t>DCYJMA.</w:t>
      </w:r>
    </w:p>
    <w:p>
      <w:pPr>
        <w:pStyle w:val="ListParagraph"/>
        <w:numPr>
          <w:ilvl w:val="1"/>
          <w:numId w:val="33"/>
        </w:numPr>
        <w:tabs>
          <w:tab w:pos="660" w:val="left" w:leader="none"/>
          <w:tab w:pos="661" w:val="left" w:leader="none"/>
        </w:tabs>
        <w:spacing w:line="240" w:lineRule="auto" w:before="6" w:after="0"/>
        <w:ind w:left="660" w:right="0" w:hanging="361"/>
        <w:jc w:val="left"/>
        <w:rPr>
          <w:i/>
          <w:sz w:val="18"/>
        </w:rPr>
      </w:pPr>
      <w:r>
        <w:rPr>
          <w:sz w:val="18"/>
        </w:rPr>
        <w:t>About half of survey respondents agreed that they have embedded the principles of </w:t>
      </w:r>
      <w:r>
        <w:rPr>
          <w:i/>
          <w:sz w:val="18"/>
        </w:rPr>
        <w:t>Our</w:t>
      </w:r>
      <w:r>
        <w:rPr>
          <w:i/>
          <w:spacing w:val="-23"/>
          <w:sz w:val="18"/>
        </w:rPr>
        <w:t> </w:t>
      </w:r>
      <w:r>
        <w:rPr>
          <w:i/>
          <w:sz w:val="18"/>
        </w:rPr>
        <w:t>Way</w:t>
      </w:r>
    </w:p>
    <w:p>
      <w:pPr>
        <w:pStyle w:val="BodyText"/>
        <w:spacing w:before="19"/>
        <w:ind w:left="660"/>
      </w:pPr>
      <w:r>
        <w:rPr/>
        <w:t>in their strategic planning responses, compared to 47 per cent who disagreed.</w:t>
      </w:r>
    </w:p>
    <w:p>
      <w:pPr>
        <w:pStyle w:val="BodyText"/>
        <w:spacing w:line="264" w:lineRule="auto" w:before="192"/>
        <w:ind w:left="300" w:right="863"/>
      </w:pPr>
      <w:r>
        <w:rPr/>
        <w:t>This variation indicates that positive system changes are occurring, but not at the desired scale. There is an opportunity to consider how to ensure more organisations or divisions within a government agency can be brought on the transformational change journey to achieve </w:t>
      </w:r>
      <w:r>
        <w:rPr>
          <w:i/>
        </w:rPr>
        <w:t>Our Way’s </w:t>
      </w:r>
      <w:r>
        <w:rPr/>
        <w:t>objectives.</w:t>
      </w:r>
    </w:p>
    <w:p>
      <w:pPr>
        <w:spacing w:before="181"/>
        <w:ind w:left="300" w:right="0" w:firstLine="0"/>
        <w:jc w:val="left"/>
        <w:rPr>
          <w:sz w:val="17"/>
        </w:rPr>
      </w:pPr>
      <w:bookmarkStart w:name="_bookmark54" w:id="87"/>
      <w:bookmarkEnd w:id="87"/>
      <w:r>
        <w:rPr/>
      </w:r>
      <w:r>
        <w:rPr>
          <w:color w:val="75787A"/>
          <w:sz w:val="17"/>
        </w:rPr>
        <w:t>Chart 4.2 Survey responses to statements related to the awareness and alignment of </w:t>
      </w:r>
      <w:r>
        <w:rPr>
          <w:i/>
          <w:color w:val="75787A"/>
          <w:sz w:val="17"/>
        </w:rPr>
        <w:t>Our Way’s </w:t>
      </w:r>
      <w:r>
        <w:rPr>
          <w:color w:val="75787A"/>
          <w:sz w:val="17"/>
        </w:rPr>
        <w:t>vision</w:t>
      </w:r>
    </w:p>
    <w:p>
      <w:pPr>
        <w:pStyle w:val="BodyText"/>
        <w:spacing w:before="10"/>
        <w:rPr>
          <w:sz w:val="14"/>
        </w:rPr>
      </w:pPr>
    </w:p>
    <w:p>
      <w:pPr>
        <w:spacing w:line="254" w:lineRule="auto" w:before="106"/>
        <w:ind w:left="427" w:right="5662" w:firstLine="9"/>
        <w:jc w:val="center"/>
        <w:rPr>
          <w:sz w:val="10"/>
        </w:rPr>
      </w:pPr>
      <w:r>
        <w:rPr/>
        <w:pict>
          <v:line style="position:absolute;mso-position-horizontal-relative:page;mso-position-vertical-relative:paragraph;z-index:251780096" from="282.268829pt,194.226712pt" to="282.274143pt,2.970932pt" stroked="true" strokeweight=".398936pt" strokecolor="#9a9a9a">
            <v:stroke dashstyle="solid"/>
            <w10:wrap type="none"/>
          </v:line>
        </w:pict>
      </w:r>
      <w:r>
        <w:rPr/>
        <w:pict>
          <v:shape style="position:absolute;margin-left:282.069366pt;margin-top:9.96552pt;width:207.35pt;height:184.5pt;mso-position-horizontal-relative:page;mso-position-vertical-relative:paragraph;z-index:251786240"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
                    <w:gridCol w:w="243"/>
                    <w:gridCol w:w="244"/>
                    <w:gridCol w:w="487"/>
                    <w:gridCol w:w="243"/>
                    <w:gridCol w:w="244"/>
                    <w:gridCol w:w="243"/>
                    <w:gridCol w:w="244"/>
                    <w:gridCol w:w="729"/>
                    <w:gridCol w:w="244"/>
                    <w:gridCol w:w="243"/>
                    <w:gridCol w:w="244"/>
                    <w:gridCol w:w="243"/>
                    <w:gridCol w:w="244"/>
                  </w:tblGrid>
                  <w:tr>
                    <w:trPr>
                      <w:trHeight w:val="191" w:hRule="atLeast"/>
                    </w:trPr>
                    <w:tc>
                      <w:tcPr>
                        <w:tcW w:w="487" w:type="dxa"/>
                        <w:gridSpan w:val="2"/>
                        <w:tcBorders>
                          <w:left w:val="single" w:sz="4" w:space="0" w:color="9A9A9A"/>
                        </w:tcBorders>
                        <w:shd w:val="clear" w:color="auto" w:fill="696969"/>
                      </w:tcPr>
                      <w:p>
                        <w:pPr>
                          <w:pStyle w:val="TableParagraph"/>
                          <w:spacing w:before="42"/>
                          <w:ind w:left="129"/>
                          <w:rPr>
                            <w:sz w:val="9"/>
                          </w:rPr>
                        </w:pPr>
                        <w:r>
                          <w:rPr>
                            <w:color w:val="FFFFFF"/>
                            <w:w w:val="105"/>
                            <w:sz w:val="9"/>
                          </w:rPr>
                          <w:t>12%</w:t>
                        </w:r>
                      </w:p>
                    </w:tc>
                    <w:tc>
                      <w:tcPr>
                        <w:tcW w:w="731" w:type="dxa"/>
                        <w:gridSpan w:val="2"/>
                        <w:shd w:val="clear" w:color="auto" w:fill="B9B9B9"/>
                      </w:tcPr>
                      <w:p>
                        <w:pPr>
                          <w:pStyle w:val="TableParagraph"/>
                          <w:spacing w:before="42"/>
                          <w:ind w:left="235" w:right="229"/>
                          <w:jc w:val="center"/>
                          <w:rPr>
                            <w:sz w:val="9"/>
                          </w:rPr>
                        </w:pPr>
                        <w:r>
                          <w:rPr>
                            <w:color w:val="404040"/>
                            <w:w w:val="105"/>
                            <w:sz w:val="9"/>
                          </w:rPr>
                          <w:t>18%</w:t>
                        </w:r>
                      </w:p>
                    </w:tc>
                    <w:tc>
                      <w:tcPr>
                        <w:tcW w:w="2190" w:type="dxa"/>
                        <w:gridSpan w:val="7"/>
                        <w:shd w:val="clear" w:color="auto" w:fill="7ACE6C"/>
                      </w:tcPr>
                      <w:p>
                        <w:pPr>
                          <w:pStyle w:val="TableParagraph"/>
                          <w:spacing w:before="42"/>
                          <w:ind w:left="966" w:right="962"/>
                          <w:jc w:val="center"/>
                          <w:rPr>
                            <w:sz w:val="9"/>
                          </w:rPr>
                        </w:pPr>
                        <w:r>
                          <w:rPr>
                            <w:color w:val="404040"/>
                            <w:w w:val="105"/>
                            <w:sz w:val="9"/>
                          </w:rPr>
                          <w:t>53%</w:t>
                        </w:r>
                      </w:p>
                    </w:tc>
                    <w:tc>
                      <w:tcPr>
                        <w:tcW w:w="731" w:type="dxa"/>
                        <w:gridSpan w:val="3"/>
                        <w:shd w:val="clear" w:color="auto" w:fill="2C6822"/>
                      </w:tcPr>
                      <w:p>
                        <w:pPr>
                          <w:pStyle w:val="TableParagraph"/>
                          <w:spacing w:before="42"/>
                          <w:ind w:left="232" w:right="231"/>
                          <w:jc w:val="center"/>
                          <w:rPr>
                            <w:sz w:val="9"/>
                          </w:rPr>
                        </w:pPr>
                        <w:r>
                          <w:rPr>
                            <w:color w:val="FFFFFF"/>
                            <w:w w:val="105"/>
                            <w:sz w:val="9"/>
                          </w:rPr>
                          <w:t>18%</w:t>
                        </w:r>
                      </w:p>
                    </w:tc>
                  </w:tr>
                  <w:tr>
                    <w:trPr>
                      <w:trHeight w:val="286" w:hRule="atLeast"/>
                    </w:trPr>
                    <w:tc>
                      <w:tcPr>
                        <w:tcW w:w="4139" w:type="dxa"/>
                        <w:gridSpan w:val="14"/>
                        <w:tcBorders>
                          <w:left w:val="single" w:sz="4" w:space="0" w:color="9A9A9A"/>
                        </w:tcBorders>
                      </w:tcPr>
                      <w:p>
                        <w:pPr>
                          <w:pStyle w:val="TableParagraph"/>
                          <w:rPr>
                            <w:rFonts w:ascii="Times New Roman"/>
                            <w:sz w:val="14"/>
                          </w:rPr>
                        </w:pPr>
                      </w:p>
                    </w:tc>
                  </w:tr>
                  <w:tr>
                    <w:trPr>
                      <w:trHeight w:val="191" w:hRule="atLeast"/>
                    </w:trPr>
                    <w:tc>
                      <w:tcPr>
                        <w:tcW w:w="487" w:type="dxa"/>
                        <w:gridSpan w:val="2"/>
                        <w:tcBorders>
                          <w:left w:val="single" w:sz="4" w:space="0" w:color="9A9A9A"/>
                        </w:tcBorders>
                        <w:shd w:val="clear" w:color="auto" w:fill="696969"/>
                      </w:tcPr>
                      <w:p>
                        <w:pPr>
                          <w:pStyle w:val="TableParagraph"/>
                          <w:spacing w:before="43"/>
                          <w:ind w:left="129"/>
                          <w:rPr>
                            <w:sz w:val="9"/>
                          </w:rPr>
                        </w:pPr>
                        <w:r>
                          <w:rPr>
                            <w:color w:val="FFFFFF"/>
                            <w:w w:val="105"/>
                            <w:sz w:val="9"/>
                          </w:rPr>
                          <w:t>12%</w:t>
                        </w:r>
                      </w:p>
                    </w:tc>
                    <w:tc>
                      <w:tcPr>
                        <w:tcW w:w="1461" w:type="dxa"/>
                        <w:gridSpan w:val="5"/>
                        <w:shd w:val="clear" w:color="auto" w:fill="E8E8E8"/>
                      </w:tcPr>
                      <w:p>
                        <w:pPr>
                          <w:pStyle w:val="TableParagraph"/>
                          <w:spacing w:before="43"/>
                          <w:ind w:left="602" w:right="596"/>
                          <w:jc w:val="center"/>
                          <w:rPr>
                            <w:sz w:val="9"/>
                          </w:rPr>
                        </w:pPr>
                        <w:r>
                          <w:rPr>
                            <w:color w:val="404040"/>
                            <w:w w:val="105"/>
                            <w:sz w:val="9"/>
                          </w:rPr>
                          <w:t>35%</w:t>
                        </w:r>
                      </w:p>
                    </w:tc>
                    <w:tc>
                      <w:tcPr>
                        <w:tcW w:w="1460" w:type="dxa"/>
                        <w:gridSpan w:val="4"/>
                        <w:shd w:val="clear" w:color="auto" w:fill="7ACE6C"/>
                      </w:tcPr>
                      <w:p>
                        <w:pPr>
                          <w:pStyle w:val="TableParagraph"/>
                          <w:spacing w:before="43"/>
                          <w:ind w:left="600" w:right="596"/>
                          <w:jc w:val="center"/>
                          <w:rPr>
                            <w:sz w:val="9"/>
                          </w:rPr>
                        </w:pPr>
                        <w:r>
                          <w:rPr>
                            <w:color w:val="404040"/>
                            <w:w w:val="105"/>
                            <w:sz w:val="9"/>
                          </w:rPr>
                          <w:t>35%</w:t>
                        </w:r>
                      </w:p>
                    </w:tc>
                    <w:tc>
                      <w:tcPr>
                        <w:tcW w:w="731" w:type="dxa"/>
                        <w:gridSpan w:val="3"/>
                        <w:shd w:val="clear" w:color="auto" w:fill="2C6822"/>
                      </w:tcPr>
                      <w:p>
                        <w:pPr>
                          <w:pStyle w:val="TableParagraph"/>
                          <w:spacing w:before="43"/>
                          <w:ind w:left="232" w:right="231"/>
                          <w:jc w:val="center"/>
                          <w:rPr>
                            <w:sz w:val="9"/>
                          </w:rPr>
                        </w:pPr>
                        <w:r>
                          <w:rPr>
                            <w:color w:val="FFFFFF"/>
                            <w:w w:val="105"/>
                            <w:sz w:val="9"/>
                          </w:rPr>
                          <w:t>18%</w:t>
                        </w:r>
                      </w:p>
                    </w:tc>
                  </w:tr>
                  <w:tr>
                    <w:trPr>
                      <w:trHeight w:val="287" w:hRule="atLeast"/>
                    </w:trPr>
                    <w:tc>
                      <w:tcPr>
                        <w:tcW w:w="4139" w:type="dxa"/>
                        <w:gridSpan w:val="14"/>
                        <w:tcBorders>
                          <w:left w:val="single" w:sz="4" w:space="0" w:color="9A9A9A"/>
                        </w:tcBorders>
                      </w:tcPr>
                      <w:p>
                        <w:pPr>
                          <w:pStyle w:val="TableParagraph"/>
                          <w:rPr>
                            <w:rFonts w:ascii="Times New Roman"/>
                            <w:sz w:val="14"/>
                          </w:rPr>
                        </w:pPr>
                      </w:p>
                    </w:tc>
                  </w:tr>
                  <w:tr>
                    <w:trPr>
                      <w:trHeight w:val="191" w:hRule="atLeast"/>
                    </w:trPr>
                    <w:tc>
                      <w:tcPr>
                        <w:tcW w:w="487" w:type="dxa"/>
                        <w:gridSpan w:val="2"/>
                        <w:tcBorders>
                          <w:left w:val="single" w:sz="4" w:space="0" w:color="9A9A9A"/>
                        </w:tcBorders>
                        <w:shd w:val="clear" w:color="auto" w:fill="696969"/>
                      </w:tcPr>
                      <w:p>
                        <w:pPr>
                          <w:pStyle w:val="TableParagraph"/>
                          <w:spacing w:before="42"/>
                          <w:ind w:left="129"/>
                          <w:rPr>
                            <w:sz w:val="9"/>
                          </w:rPr>
                        </w:pPr>
                        <w:r>
                          <w:rPr>
                            <w:color w:val="FFFFFF"/>
                            <w:w w:val="105"/>
                            <w:sz w:val="9"/>
                          </w:rPr>
                          <w:t>12%</w:t>
                        </w:r>
                      </w:p>
                    </w:tc>
                    <w:tc>
                      <w:tcPr>
                        <w:tcW w:w="244" w:type="dxa"/>
                        <w:shd w:val="clear" w:color="auto" w:fill="B9B9B9"/>
                      </w:tcPr>
                      <w:p>
                        <w:pPr>
                          <w:pStyle w:val="TableParagraph"/>
                          <w:spacing w:before="42"/>
                          <w:ind w:left="43"/>
                          <w:rPr>
                            <w:sz w:val="9"/>
                          </w:rPr>
                        </w:pPr>
                        <w:r>
                          <w:rPr>
                            <w:color w:val="404040"/>
                            <w:w w:val="105"/>
                            <w:sz w:val="9"/>
                          </w:rPr>
                          <w:t>6%</w:t>
                        </w:r>
                      </w:p>
                    </w:tc>
                    <w:tc>
                      <w:tcPr>
                        <w:tcW w:w="1217" w:type="dxa"/>
                        <w:gridSpan w:val="4"/>
                        <w:shd w:val="clear" w:color="auto" w:fill="E8E8E8"/>
                      </w:tcPr>
                      <w:p>
                        <w:pPr>
                          <w:pStyle w:val="TableParagraph"/>
                          <w:spacing w:before="42"/>
                          <w:ind w:left="480" w:right="475"/>
                          <w:jc w:val="center"/>
                          <w:rPr>
                            <w:sz w:val="9"/>
                          </w:rPr>
                        </w:pPr>
                        <w:r>
                          <w:rPr>
                            <w:color w:val="404040"/>
                            <w:w w:val="105"/>
                            <w:sz w:val="9"/>
                          </w:rPr>
                          <w:t>29%</w:t>
                        </w:r>
                      </w:p>
                    </w:tc>
                    <w:tc>
                      <w:tcPr>
                        <w:tcW w:w="2191" w:type="dxa"/>
                        <w:gridSpan w:val="7"/>
                        <w:shd w:val="clear" w:color="auto" w:fill="7ACE6C"/>
                      </w:tcPr>
                      <w:p>
                        <w:pPr>
                          <w:pStyle w:val="TableParagraph"/>
                          <w:spacing w:before="42"/>
                          <w:ind w:left="965" w:right="963"/>
                          <w:jc w:val="center"/>
                          <w:rPr>
                            <w:sz w:val="9"/>
                          </w:rPr>
                        </w:pPr>
                        <w:r>
                          <w:rPr>
                            <w:color w:val="404040"/>
                            <w:w w:val="105"/>
                            <w:sz w:val="9"/>
                          </w:rPr>
                          <w:t>53%</w:t>
                        </w:r>
                      </w:p>
                    </w:tc>
                  </w:tr>
                  <w:tr>
                    <w:trPr>
                      <w:trHeight w:val="286" w:hRule="atLeast"/>
                    </w:trPr>
                    <w:tc>
                      <w:tcPr>
                        <w:tcW w:w="4139" w:type="dxa"/>
                        <w:gridSpan w:val="14"/>
                        <w:tcBorders>
                          <w:left w:val="single" w:sz="4" w:space="0" w:color="9A9A9A"/>
                        </w:tcBorders>
                      </w:tcPr>
                      <w:p>
                        <w:pPr>
                          <w:pStyle w:val="TableParagraph"/>
                          <w:rPr>
                            <w:rFonts w:ascii="Times New Roman"/>
                            <w:sz w:val="14"/>
                          </w:rPr>
                        </w:pPr>
                      </w:p>
                    </w:tc>
                  </w:tr>
                  <w:tr>
                    <w:trPr>
                      <w:trHeight w:val="191" w:hRule="atLeast"/>
                    </w:trPr>
                    <w:tc>
                      <w:tcPr>
                        <w:tcW w:w="487" w:type="dxa"/>
                        <w:gridSpan w:val="2"/>
                        <w:tcBorders>
                          <w:left w:val="single" w:sz="4" w:space="0" w:color="9A9A9A"/>
                        </w:tcBorders>
                        <w:shd w:val="clear" w:color="auto" w:fill="696969"/>
                      </w:tcPr>
                      <w:p>
                        <w:pPr>
                          <w:pStyle w:val="TableParagraph"/>
                          <w:spacing w:before="43"/>
                          <w:ind w:left="129"/>
                          <w:rPr>
                            <w:sz w:val="9"/>
                          </w:rPr>
                        </w:pPr>
                        <w:r>
                          <w:rPr>
                            <w:color w:val="FFFFFF"/>
                            <w:w w:val="105"/>
                            <w:sz w:val="9"/>
                          </w:rPr>
                          <w:t>12%</w:t>
                        </w:r>
                      </w:p>
                    </w:tc>
                    <w:tc>
                      <w:tcPr>
                        <w:tcW w:w="1218" w:type="dxa"/>
                        <w:gridSpan w:val="4"/>
                        <w:shd w:val="clear" w:color="auto" w:fill="E8E8E8"/>
                      </w:tcPr>
                      <w:p>
                        <w:pPr>
                          <w:pStyle w:val="TableParagraph"/>
                          <w:spacing w:before="43"/>
                          <w:ind w:left="481" w:right="475"/>
                          <w:jc w:val="center"/>
                          <w:rPr>
                            <w:sz w:val="9"/>
                          </w:rPr>
                        </w:pPr>
                        <w:r>
                          <w:rPr>
                            <w:color w:val="404040"/>
                            <w:w w:val="105"/>
                            <w:sz w:val="9"/>
                          </w:rPr>
                          <w:t>29%</w:t>
                        </w:r>
                      </w:p>
                    </w:tc>
                    <w:tc>
                      <w:tcPr>
                        <w:tcW w:w="1947" w:type="dxa"/>
                        <w:gridSpan w:val="6"/>
                        <w:shd w:val="clear" w:color="auto" w:fill="7ACE6C"/>
                      </w:tcPr>
                      <w:p>
                        <w:pPr>
                          <w:pStyle w:val="TableParagraph"/>
                          <w:spacing w:before="43"/>
                          <w:ind w:left="844" w:right="841"/>
                          <w:jc w:val="center"/>
                          <w:rPr>
                            <w:sz w:val="9"/>
                          </w:rPr>
                        </w:pPr>
                        <w:r>
                          <w:rPr>
                            <w:color w:val="404040"/>
                            <w:w w:val="105"/>
                            <w:sz w:val="9"/>
                          </w:rPr>
                          <w:t>47%</w:t>
                        </w:r>
                      </w:p>
                    </w:tc>
                    <w:tc>
                      <w:tcPr>
                        <w:tcW w:w="487" w:type="dxa"/>
                        <w:gridSpan w:val="2"/>
                        <w:shd w:val="clear" w:color="auto" w:fill="2C6822"/>
                      </w:tcPr>
                      <w:p>
                        <w:pPr>
                          <w:pStyle w:val="TableParagraph"/>
                          <w:spacing w:before="43"/>
                          <w:ind w:left="131"/>
                          <w:rPr>
                            <w:sz w:val="9"/>
                          </w:rPr>
                        </w:pPr>
                        <w:r>
                          <w:rPr>
                            <w:color w:val="FFFFFF"/>
                            <w:w w:val="105"/>
                            <w:sz w:val="9"/>
                          </w:rPr>
                          <w:t>12%</w:t>
                        </w:r>
                      </w:p>
                    </w:tc>
                  </w:tr>
                  <w:tr>
                    <w:trPr>
                      <w:trHeight w:val="286" w:hRule="atLeast"/>
                    </w:trPr>
                    <w:tc>
                      <w:tcPr>
                        <w:tcW w:w="4139" w:type="dxa"/>
                        <w:gridSpan w:val="14"/>
                        <w:tcBorders>
                          <w:left w:val="single" w:sz="4" w:space="0" w:color="9A9A9A"/>
                        </w:tcBorders>
                      </w:tcPr>
                      <w:p>
                        <w:pPr>
                          <w:pStyle w:val="TableParagraph"/>
                          <w:rPr>
                            <w:rFonts w:ascii="Times New Roman"/>
                            <w:sz w:val="14"/>
                          </w:rPr>
                        </w:pPr>
                      </w:p>
                    </w:tc>
                  </w:tr>
                  <w:tr>
                    <w:trPr>
                      <w:trHeight w:val="192" w:hRule="atLeast"/>
                    </w:trPr>
                    <w:tc>
                      <w:tcPr>
                        <w:tcW w:w="487" w:type="dxa"/>
                        <w:gridSpan w:val="2"/>
                        <w:tcBorders>
                          <w:left w:val="single" w:sz="4" w:space="0" w:color="9A9A9A"/>
                        </w:tcBorders>
                        <w:shd w:val="clear" w:color="auto" w:fill="696969"/>
                      </w:tcPr>
                      <w:p>
                        <w:pPr>
                          <w:pStyle w:val="TableParagraph"/>
                          <w:spacing w:before="43"/>
                          <w:ind w:left="129"/>
                          <w:rPr>
                            <w:sz w:val="9"/>
                          </w:rPr>
                        </w:pPr>
                        <w:r>
                          <w:rPr>
                            <w:color w:val="FFFFFF"/>
                            <w:w w:val="105"/>
                            <w:sz w:val="9"/>
                          </w:rPr>
                          <w:t>12%</w:t>
                        </w:r>
                      </w:p>
                    </w:tc>
                    <w:tc>
                      <w:tcPr>
                        <w:tcW w:w="1705" w:type="dxa"/>
                        <w:gridSpan w:val="6"/>
                        <w:shd w:val="clear" w:color="auto" w:fill="E8E8E8"/>
                      </w:tcPr>
                      <w:p>
                        <w:pPr>
                          <w:pStyle w:val="TableParagraph"/>
                          <w:spacing w:before="43"/>
                          <w:ind w:left="724" w:right="719"/>
                          <w:jc w:val="center"/>
                          <w:rPr>
                            <w:sz w:val="9"/>
                          </w:rPr>
                        </w:pPr>
                        <w:r>
                          <w:rPr>
                            <w:color w:val="404040"/>
                            <w:w w:val="105"/>
                            <w:sz w:val="9"/>
                          </w:rPr>
                          <w:t>41%</w:t>
                        </w:r>
                      </w:p>
                    </w:tc>
                    <w:tc>
                      <w:tcPr>
                        <w:tcW w:w="1460" w:type="dxa"/>
                        <w:gridSpan w:val="4"/>
                        <w:shd w:val="clear" w:color="auto" w:fill="7ACE6C"/>
                      </w:tcPr>
                      <w:p>
                        <w:pPr>
                          <w:pStyle w:val="TableParagraph"/>
                          <w:spacing w:before="43"/>
                          <w:ind w:left="599" w:right="597"/>
                          <w:jc w:val="center"/>
                          <w:rPr>
                            <w:sz w:val="9"/>
                          </w:rPr>
                        </w:pPr>
                        <w:r>
                          <w:rPr>
                            <w:color w:val="404040"/>
                            <w:w w:val="105"/>
                            <w:sz w:val="9"/>
                          </w:rPr>
                          <w:t>35%</w:t>
                        </w:r>
                      </w:p>
                    </w:tc>
                    <w:tc>
                      <w:tcPr>
                        <w:tcW w:w="487" w:type="dxa"/>
                        <w:gridSpan w:val="2"/>
                        <w:shd w:val="clear" w:color="auto" w:fill="2C6822"/>
                      </w:tcPr>
                      <w:p>
                        <w:pPr>
                          <w:pStyle w:val="TableParagraph"/>
                          <w:spacing w:before="43"/>
                          <w:ind w:left="131"/>
                          <w:rPr>
                            <w:sz w:val="9"/>
                          </w:rPr>
                        </w:pPr>
                        <w:r>
                          <w:rPr>
                            <w:color w:val="FFFFFF"/>
                            <w:w w:val="105"/>
                            <w:sz w:val="9"/>
                          </w:rPr>
                          <w:t>12%</w:t>
                        </w:r>
                      </w:p>
                    </w:tc>
                  </w:tr>
                  <w:tr>
                    <w:trPr>
                      <w:trHeight w:val="286" w:hRule="atLeast"/>
                    </w:trPr>
                    <w:tc>
                      <w:tcPr>
                        <w:tcW w:w="4139" w:type="dxa"/>
                        <w:gridSpan w:val="14"/>
                        <w:tcBorders>
                          <w:left w:val="single" w:sz="4" w:space="0" w:color="9A9A9A"/>
                        </w:tcBorders>
                      </w:tcPr>
                      <w:p>
                        <w:pPr>
                          <w:pStyle w:val="TableParagraph"/>
                          <w:rPr>
                            <w:rFonts w:ascii="Times New Roman"/>
                            <w:sz w:val="14"/>
                          </w:rPr>
                        </w:pPr>
                      </w:p>
                    </w:tc>
                  </w:tr>
                  <w:tr>
                    <w:trPr>
                      <w:trHeight w:val="191" w:hRule="atLeast"/>
                    </w:trPr>
                    <w:tc>
                      <w:tcPr>
                        <w:tcW w:w="244" w:type="dxa"/>
                        <w:tcBorders>
                          <w:left w:val="single" w:sz="4" w:space="0" w:color="9A9A9A"/>
                        </w:tcBorders>
                        <w:shd w:val="clear" w:color="auto" w:fill="696969"/>
                      </w:tcPr>
                      <w:p>
                        <w:pPr>
                          <w:pStyle w:val="TableParagraph"/>
                          <w:spacing w:before="43"/>
                          <w:ind w:left="38"/>
                          <w:rPr>
                            <w:sz w:val="9"/>
                          </w:rPr>
                        </w:pPr>
                        <w:r>
                          <w:rPr>
                            <w:color w:val="FFFFFF"/>
                            <w:w w:val="105"/>
                            <w:sz w:val="9"/>
                          </w:rPr>
                          <w:t>6%</w:t>
                        </w:r>
                      </w:p>
                    </w:tc>
                    <w:tc>
                      <w:tcPr>
                        <w:tcW w:w="243" w:type="dxa"/>
                        <w:shd w:val="clear" w:color="auto" w:fill="B9B9B9"/>
                      </w:tcPr>
                      <w:p>
                        <w:pPr>
                          <w:pStyle w:val="TableParagraph"/>
                          <w:spacing w:before="43"/>
                          <w:ind w:left="43"/>
                          <w:rPr>
                            <w:sz w:val="9"/>
                          </w:rPr>
                        </w:pPr>
                        <w:r>
                          <w:rPr>
                            <w:color w:val="404040"/>
                            <w:w w:val="105"/>
                            <w:sz w:val="9"/>
                          </w:rPr>
                          <w:t>6%</w:t>
                        </w:r>
                      </w:p>
                    </w:tc>
                    <w:tc>
                      <w:tcPr>
                        <w:tcW w:w="974" w:type="dxa"/>
                        <w:gridSpan w:val="3"/>
                        <w:shd w:val="clear" w:color="auto" w:fill="E8E8E8"/>
                      </w:tcPr>
                      <w:p>
                        <w:pPr>
                          <w:pStyle w:val="TableParagraph"/>
                          <w:spacing w:before="43"/>
                          <w:ind w:left="356" w:right="350"/>
                          <w:jc w:val="center"/>
                          <w:rPr>
                            <w:sz w:val="9"/>
                          </w:rPr>
                        </w:pPr>
                        <w:r>
                          <w:rPr>
                            <w:color w:val="404040"/>
                            <w:w w:val="105"/>
                            <w:sz w:val="9"/>
                          </w:rPr>
                          <w:t>24%</w:t>
                        </w:r>
                      </w:p>
                    </w:tc>
                    <w:tc>
                      <w:tcPr>
                        <w:tcW w:w="1704" w:type="dxa"/>
                        <w:gridSpan w:val="5"/>
                        <w:shd w:val="clear" w:color="auto" w:fill="7ACE6C"/>
                      </w:tcPr>
                      <w:p>
                        <w:pPr>
                          <w:pStyle w:val="TableParagraph"/>
                          <w:spacing w:before="43"/>
                          <w:ind w:left="723" w:right="719"/>
                          <w:jc w:val="center"/>
                          <w:rPr>
                            <w:sz w:val="9"/>
                          </w:rPr>
                        </w:pPr>
                        <w:r>
                          <w:rPr>
                            <w:color w:val="404040"/>
                            <w:w w:val="105"/>
                            <w:sz w:val="9"/>
                          </w:rPr>
                          <w:t>41%</w:t>
                        </w:r>
                      </w:p>
                    </w:tc>
                    <w:tc>
                      <w:tcPr>
                        <w:tcW w:w="974" w:type="dxa"/>
                        <w:gridSpan w:val="4"/>
                        <w:shd w:val="clear" w:color="auto" w:fill="2C6822"/>
                      </w:tcPr>
                      <w:p>
                        <w:pPr>
                          <w:pStyle w:val="TableParagraph"/>
                          <w:spacing w:before="43"/>
                          <w:ind w:left="354" w:right="353"/>
                          <w:jc w:val="center"/>
                          <w:rPr>
                            <w:sz w:val="9"/>
                          </w:rPr>
                        </w:pPr>
                        <w:r>
                          <w:rPr>
                            <w:color w:val="FFFFFF"/>
                            <w:w w:val="105"/>
                            <w:sz w:val="9"/>
                          </w:rPr>
                          <w:t>24%</w:t>
                        </w:r>
                      </w:p>
                    </w:tc>
                  </w:tr>
                  <w:tr>
                    <w:trPr>
                      <w:trHeight w:val="286" w:hRule="atLeast"/>
                    </w:trPr>
                    <w:tc>
                      <w:tcPr>
                        <w:tcW w:w="4139" w:type="dxa"/>
                        <w:gridSpan w:val="14"/>
                        <w:tcBorders>
                          <w:left w:val="single" w:sz="4" w:space="0" w:color="9A9A9A"/>
                        </w:tcBorders>
                      </w:tcPr>
                      <w:p>
                        <w:pPr>
                          <w:pStyle w:val="TableParagraph"/>
                          <w:rPr>
                            <w:rFonts w:ascii="Times New Roman"/>
                            <w:sz w:val="14"/>
                          </w:rPr>
                        </w:pPr>
                      </w:p>
                    </w:tc>
                  </w:tr>
                  <w:tr>
                    <w:trPr>
                      <w:trHeight w:val="191" w:hRule="atLeast"/>
                    </w:trPr>
                    <w:tc>
                      <w:tcPr>
                        <w:tcW w:w="244" w:type="dxa"/>
                        <w:tcBorders>
                          <w:left w:val="single" w:sz="4" w:space="0" w:color="9A9A9A"/>
                        </w:tcBorders>
                        <w:shd w:val="clear" w:color="auto" w:fill="696969"/>
                      </w:tcPr>
                      <w:p>
                        <w:pPr>
                          <w:pStyle w:val="TableParagraph"/>
                          <w:spacing w:before="43"/>
                          <w:ind w:left="38"/>
                          <w:rPr>
                            <w:sz w:val="9"/>
                          </w:rPr>
                        </w:pPr>
                        <w:r>
                          <w:rPr>
                            <w:color w:val="FFFFFF"/>
                            <w:w w:val="105"/>
                            <w:sz w:val="9"/>
                          </w:rPr>
                          <w:t>6%</w:t>
                        </w:r>
                      </w:p>
                    </w:tc>
                    <w:tc>
                      <w:tcPr>
                        <w:tcW w:w="487" w:type="dxa"/>
                        <w:gridSpan w:val="2"/>
                        <w:shd w:val="clear" w:color="auto" w:fill="B9B9B9"/>
                      </w:tcPr>
                      <w:p>
                        <w:pPr>
                          <w:pStyle w:val="TableParagraph"/>
                          <w:spacing w:before="43"/>
                          <w:ind w:left="133"/>
                          <w:rPr>
                            <w:sz w:val="9"/>
                          </w:rPr>
                        </w:pPr>
                        <w:r>
                          <w:rPr>
                            <w:color w:val="404040"/>
                            <w:w w:val="105"/>
                            <w:sz w:val="9"/>
                          </w:rPr>
                          <w:t>12%</w:t>
                        </w:r>
                      </w:p>
                    </w:tc>
                    <w:tc>
                      <w:tcPr>
                        <w:tcW w:w="974" w:type="dxa"/>
                        <w:gridSpan w:val="3"/>
                        <w:shd w:val="clear" w:color="auto" w:fill="E8E8E8"/>
                      </w:tcPr>
                      <w:p>
                        <w:pPr>
                          <w:pStyle w:val="TableParagraph"/>
                          <w:spacing w:before="43"/>
                          <w:ind w:left="356" w:right="351"/>
                          <w:jc w:val="center"/>
                          <w:rPr>
                            <w:sz w:val="9"/>
                          </w:rPr>
                        </w:pPr>
                        <w:r>
                          <w:rPr>
                            <w:color w:val="404040"/>
                            <w:w w:val="105"/>
                            <w:sz w:val="9"/>
                          </w:rPr>
                          <w:t>24%</w:t>
                        </w:r>
                      </w:p>
                    </w:tc>
                    <w:tc>
                      <w:tcPr>
                        <w:tcW w:w="1703" w:type="dxa"/>
                        <w:gridSpan w:val="5"/>
                        <w:shd w:val="clear" w:color="auto" w:fill="7ACE6C"/>
                      </w:tcPr>
                      <w:p>
                        <w:pPr>
                          <w:pStyle w:val="TableParagraph"/>
                          <w:spacing w:before="43"/>
                          <w:ind w:left="722" w:right="719"/>
                          <w:jc w:val="center"/>
                          <w:rPr>
                            <w:sz w:val="9"/>
                          </w:rPr>
                        </w:pPr>
                        <w:r>
                          <w:rPr>
                            <w:color w:val="404040"/>
                            <w:w w:val="105"/>
                            <w:sz w:val="9"/>
                          </w:rPr>
                          <w:t>41%</w:t>
                        </w:r>
                      </w:p>
                    </w:tc>
                    <w:tc>
                      <w:tcPr>
                        <w:tcW w:w="731" w:type="dxa"/>
                        <w:gridSpan w:val="3"/>
                        <w:shd w:val="clear" w:color="auto" w:fill="2C6822"/>
                      </w:tcPr>
                      <w:p>
                        <w:pPr>
                          <w:pStyle w:val="TableParagraph"/>
                          <w:spacing w:before="43"/>
                          <w:ind w:left="232" w:right="231"/>
                          <w:jc w:val="center"/>
                          <w:rPr>
                            <w:sz w:val="9"/>
                          </w:rPr>
                        </w:pPr>
                        <w:r>
                          <w:rPr>
                            <w:color w:val="FFFFFF"/>
                            <w:w w:val="105"/>
                            <w:sz w:val="9"/>
                          </w:rPr>
                          <w:t>18%</w:t>
                        </w:r>
                      </w:p>
                    </w:tc>
                  </w:tr>
                  <w:tr>
                    <w:trPr>
                      <w:trHeight w:val="286" w:hRule="atLeast"/>
                    </w:trPr>
                    <w:tc>
                      <w:tcPr>
                        <w:tcW w:w="4139" w:type="dxa"/>
                        <w:gridSpan w:val="14"/>
                        <w:tcBorders>
                          <w:left w:val="single" w:sz="4" w:space="0" w:color="9A9A9A"/>
                        </w:tcBorders>
                      </w:tcPr>
                      <w:p>
                        <w:pPr>
                          <w:pStyle w:val="TableParagraph"/>
                          <w:rPr>
                            <w:rFonts w:ascii="Times New Roman"/>
                            <w:sz w:val="14"/>
                          </w:rPr>
                        </w:pPr>
                      </w:p>
                    </w:tc>
                  </w:tr>
                  <w:tr>
                    <w:trPr>
                      <w:trHeight w:val="192" w:hRule="atLeast"/>
                    </w:trPr>
                    <w:tc>
                      <w:tcPr>
                        <w:tcW w:w="2921" w:type="dxa"/>
                        <w:gridSpan w:val="9"/>
                        <w:tcBorders>
                          <w:left w:val="single" w:sz="4" w:space="0" w:color="9A9A9A"/>
                        </w:tcBorders>
                        <w:shd w:val="clear" w:color="auto" w:fill="E8E8E8"/>
                      </w:tcPr>
                      <w:p>
                        <w:pPr>
                          <w:pStyle w:val="TableParagraph"/>
                          <w:spacing w:before="44"/>
                          <w:ind w:left="1327" w:right="1326"/>
                          <w:jc w:val="center"/>
                          <w:rPr>
                            <w:sz w:val="9"/>
                          </w:rPr>
                        </w:pPr>
                        <w:r>
                          <w:rPr>
                            <w:color w:val="404040"/>
                            <w:w w:val="105"/>
                            <w:sz w:val="9"/>
                          </w:rPr>
                          <w:t>71%</w:t>
                        </w:r>
                      </w:p>
                    </w:tc>
                    <w:tc>
                      <w:tcPr>
                        <w:tcW w:w="974" w:type="dxa"/>
                        <w:gridSpan w:val="4"/>
                        <w:shd w:val="clear" w:color="auto" w:fill="7ACE6C"/>
                      </w:tcPr>
                      <w:p>
                        <w:pPr>
                          <w:pStyle w:val="TableParagraph"/>
                          <w:spacing w:before="44"/>
                          <w:ind w:left="356" w:right="353"/>
                          <w:jc w:val="center"/>
                          <w:rPr>
                            <w:sz w:val="9"/>
                          </w:rPr>
                        </w:pPr>
                        <w:r>
                          <w:rPr>
                            <w:color w:val="404040"/>
                            <w:w w:val="105"/>
                            <w:sz w:val="9"/>
                          </w:rPr>
                          <w:t>24%</w:t>
                        </w:r>
                      </w:p>
                    </w:tc>
                    <w:tc>
                      <w:tcPr>
                        <w:tcW w:w="244" w:type="dxa"/>
                        <w:shd w:val="clear" w:color="auto" w:fill="2C6822"/>
                      </w:tcPr>
                      <w:p>
                        <w:pPr>
                          <w:pStyle w:val="TableParagraph"/>
                          <w:spacing w:before="44"/>
                          <w:ind w:left="40"/>
                          <w:rPr>
                            <w:sz w:val="9"/>
                          </w:rPr>
                        </w:pPr>
                        <w:r>
                          <w:rPr>
                            <w:color w:val="FFFFFF"/>
                            <w:w w:val="105"/>
                            <w:sz w:val="9"/>
                          </w:rPr>
                          <w:t>6%</w:t>
                        </w:r>
                      </w:p>
                    </w:tc>
                  </w:tr>
                  <w:tr>
                    <w:trPr>
                      <w:trHeight w:val="137" w:hRule="atLeast"/>
                    </w:trPr>
                    <w:tc>
                      <w:tcPr>
                        <w:tcW w:w="2921" w:type="dxa"/>
                        <w:gridSpan w:val="9"/>
                        <w:tcBorders>
                          <w:left w:val="single" w:sz="4" w:space="0" w:color="9A9A9A"/>
                          <w:bottom w:val="single" w:sz="4" w:space="0" w:color="9A9A9A"/>
                        </w:tcBorders>
                      </w:tcPr>
                      <w:p>
                        <w:pPr>
                          <w:pStyle w:val="TableParagraph"/>
                          <w:rPr>
                            <w:rFonts w:ascii="Times New Roman"/>
                            <w:sz w:val="8"/>
                          </w:rPr>
                        </w:pPr>
                      </w:p>
                    </w:tc>
                    <w:tc>
                      <w:tcPr>
                        <w:tcW w:w="974" w:type="dxa"/>
                        <w:gridSpan w:val="4"/>
                        <w:tcBorders>
                          <w:bottom w:val="single" w:sz="4" w:space="0" w:color="9A9A9A"/>
                        </w:tcBorders>
                      </w:tcPr>
                      <w:p>
                        <w:pPr>
                          <w:pStyle w:val="TableParagraph"/>
                          <w:rPr>
                            <w:rFonts w:ascii="Times New Roman"/>
                            <w:sz w:val="8"/>
                          </w:rPr>
                        </w:pPr>
                      </w:p>
                    </w:tc>
                    <w:tc>
                      <w:tcPr>
                        <w:tcW w:w="244" w:type="dxa"/>
                        <w:tcBorders>
                          <w:bottom w:val="single" w:sz="4" w:space="0" w:color="9A9A9A"/>
                        </w:tcBorders>
                      </w:tcPr>
                      <w:p>
                        <w:pPr>
                          <w:pStyle w:val="TableParagraph"/>
                          <w:rPr>
                            <w:rFonts w:ascii="Times New Roman"/>
                            <w:sz w:val="8"/>
                          </w:rPr>
                        </w:pPr>
                      </w:p>
                    </w:tc>
                  </w:tr>
                </w:tbl>
                <w:p>
                  <w:pPr>
                    <w:pStyle w:val="BodyText"/>
                  </w:pPr>
                </w:p>
              </w:txbxContent>
            </v:textbox>
            <w10:wrap type="none"/>
          </v:shape>
        </w:pict>
      </w:r>
      <w:r>
        <w:rPr>
          <w:color w:val="585858"/>
          <w:w w:val="105"/>
          <w:sz w:val="10"/>
        </w:rPr>
        <w:t>I have been involved in a project within my organisation supporting the attainment of the objectives of Our Way, via one or more of the actions in the action plan(s)</w:t>
      </w:r>
    </w:p>
    <w:p>
      <w:pPr>
        <w:pStyle w:val="BodyText"/>
        <w:spacing w:before="10"/>
        <w:rPr>
          <w:sz w:val="12"/>
        </w:rPr>
      </w:pPr>
    </w:p>
    <w:p>
      <w:pPr>
        <w:spacing w:line="254" w:lineRule="auto" w:before="0"/>
        <w:ind w:left="412" w:right="5666" w:firstLine="0"/>
        <w:jc w:val="center"/>
        <w:rPr>
          <w:sz w:val="10"/>
        </w:rPr>
      </w:pPr>
      <w:r>
        <w:rPr>
          <w:color w:val="585858"/>
          <w:w w:val="105"/>
          <w:sz w:val="10"/>
        </w:rPr>
        <w:t>Since its launch, my organisation has embedded the principles of Our Way in our strategic planning processes</w:t>
      </w:r>
    </w:p>
    <w:p>
      <w:pPr>
        <w:pStyle w:val="BodyText"/>
        <w:rPr>
          <w:sz w:val="12"/>
        </w:rPr>
      </w:pPr>
    </w:p>
    <w:p>
      <w:pPr>
        <w:spacing w:before="75"/>
        <w:ind w:left="415" w:right="5260" w:firstLine="0"/>
        <w:jc w:val="center"/>
        <w:rPr>
          <w:sz w:val="10"/>
        </w:rPr>
      </w:pPr>
      <w:r>
        <w:rPr>
          <w:color w:val="585858"/>
          <w:w w:val="105"/>
          <w:sz w:val="10"/>
        </w:rPr>
        <w:t>My organisation has been actively measuring progress towards the</w:t>
      </w:r>
    </w:p>
    <w:p>
      <w:pPr>
        <w:spacing w:before="8"/>
        <w:ind w:left="415" w:right="5259" w:firstLine="0"/>
        <w:jc w:val="center"/>
        <w:rPr>
          <w:sz w:val="10"/>
        </w:rPr>
      </w:pPr>
      <w:r>
        <w:rPr>
          <w:color w:val="585858"/>
          <w:w w:val="105"/>
          <w:sz w:val="10"/>
        </w:rPr>
        <w:t>intended outcomes described in Our Way</w:t>
      </w:r>
    </w:p>
    <w:p>
      <w:pPr>
        <w:pStyle w:val="BodyText"/>
        <w:rPr>
          <w:sz w:val="12"/>
        </w:rPr>
      </w:pPr>
    </w:p>
    <w:p>
      <w:pPr>
        <w:spacing w:line="254" w:lineRule="auto" w:before="81"/>
        <w:ind w:left="415" w:right="5602" w:firstLine="0"/>
        <w:jc w:val="center"/>
        <w:rPr>
          <w:sz w:val="10"/>
        </w:rPr>
      </w:pPr>
      <w:r>
        <w:rPr>
          <w:color w:val="585858"/>
          <w:w w:val="105"/>
          <w:sz w:val="10"/>
        </w:rPr>
        <w:t>I have seen examples of decision making within my organisation change, aligned with the intent and objectives of Our Way</w:t>
      </w:r>
    </w:p>
    <w:p>
      <w:pPr>
        <w:pStyle w:val="BodyText"/>
        <w:rPr>
          <w:sz w:val="12"/>
        </w:rPr>
      </w:pPr>
    </w:p>
    <w:p>
      <w:pPr>
        <w:spacing w:line="254" w:lineRule="auto" w:before="75"/>
        <w:ind w:left="415" w:right="5581" w:firstLine="0"/>
        <w:jc w:val="center"/>
        <w:rPr>
          <w:sz w:val="10"/>
        </w:rPr>
      </w:pPr>
      <w:r>
        <w:rPr>
          <w:color w:val="585858"/>
          <w:w w:val="105"/>
          <w:sz w:val="10"/>
        </w:rPr>
        <w:t>I have seen examples of where Our Way and the Changing Tracks action plans have been used to inform decision making within my organisation</w:t>
      </w:r>
    </w:p>
    <w:p>
      <w:pPr>
        <w:pStyle w:val="BodyText"/>
        <w:spacing w:before="10"/>
        <w:rPr>
          <w:sz w:val="12"/>
        </w:rPr>
      </w:pPr>
    </w:p>
    <w:p>
      <w:pPr>
        <w:spacing w:line="254" w:lineRule="auto" w:before="0"/>
        <w:ind w:left="568" w:right="5666" w:firstLine="0"/>
        <w:jc w:val="center"/>
        <w:rPr>
          <w:sz w:val="10"/>
        </w:rPr>
      </w:pPr>
      <w:r>
        <w:rPr>
          <w:color w:val="585858"/>
          <w:w w:val="105"/>
          <w:sz w:val="10"/>
        </w:rPr>
        <w:t>My organisation has implemented processes that genuinely provide mechanisms for young people and families to have a say/own decisions that affect them</w:t>
      </w:r>
    </w:p>
    <w:p>
      <w:pPr>
        <w:pStyle w:val="BodyText"/>
        <w:rPr>
          <w:sz w:val="12"/>
        </w:rPr>
      </w:pPr>
    </w:p>
    <w:p>
      <w:pPr>
        <w:spacing w:before="75"/>
        <w:ind w:left="415" w:right="5431" w:firstLine="0"/>
        <w:jc w:val="center"/>
        <w:rPr>
          <w:sz w:val="10"/>
        </w:rPr>
      </w:pPr>
      <w:r>
        <w:rPr>
          <w:color w:val="585858"/>
          <w:w w:val="105"/>
          <w:sz w:val="10"/>
        </w:rPr>
        <w:t>My organisation has already started working in a new or different way</w:t>
      </w:r>
    </w:p>
    <w:p>
      <w:pPr>
        <w:pStyle w:val="BodyText"/>
        <w:spacing w:before="1"/>
        <w:rPr>
          <w:sz w:val="10"/>
        </w:rPr>
      </w:pPr>
    </w:p>
    <w:p>
      <w:pPr>
        <w:spacing w:after="0"/>
        <w:rPr>
          <w:sz w:val="10"/>
        </w:rPr>
        <w:sectPr>
          <w:pgSz w:w="11910" w:h="16840"/>
          <w:pgMar w:header="650" w:footer="420" w:top="1340" w:bottom="620" w:left="1140" w:right="700"/>
        </w:sectPr>
      </w:pPr>
    </w:p>
    <w:p>
      <w:pPr>
        <w:spacing w:line="254" w:lineRule="auto" w:before="105"/>
        <w:ind w:left="690" w:right="2" w:firstLine="0"/>
        <w:jc w:val="center"/>
        <w:rPr>
          <w:sz w:val="10"/>
        </w:rPr>
      </w:pPr>
      <w:r>
        <w:rPr>
          <w:color w:val="585858"/>
          <w:w w:val="105"/>
          <w:sz w:val="10"/>
        </w:rPr>
        <w:t>The governance group I am a member of has provided the necessary oversight, support and pathways to manage issues arising during implementation of Our Way</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11"/>
        <w:rPr>
          <w:sz w:val="13"/>
        </w:rPr>
      </w:pPr>
    </w:p>
    <w:p>
      <w:pPr>
        <w:tabs>
          <w:tab w:pos="365" w:val="left" w:leader="none"/>
        </w:tabs>
        <w:spacing w:before="0"/>
        <w:ind w:left="-18" w:right="0" w:firstLine="0"/>
        <w:jc w:val="left"/>
        <w:rPr>
          <w:sz w:val="9"/>
        </w:rPr>
      </w:pPr>
      <w:r>
        <w:rPr>
          <w:color w:val="585858"/>
          <w:w w:val="105"/>
          <w:sz w:val="9"/>
        </w:rPr>
        <w:t>0%</w:t>
        <w:tab/>
        <w:t>10% 20% 30% 40% 50% 60% 70% 80% 90%</w:t>
      </w:r>
      <w:r>
        <w:rPr>
          <w:color w:val="585858"/>
          <w:spacing w:val="19"/>
          <w:w w:val="105"/>
          <w:sz w:val="9"/>
        </w:rPr>
        <w:t> </w:t>
      </w:r>
      <w:r>
        <w:rPr>
          <w:color w:val="585858"/>
          <w:w w:val="105"/>
          <w:sz w:val="9"/>
        </w:rPr>
        <w:t>100%</w:t>
      </w:r>
    </w:p>
    <w:p>
      <w:pPr>
        <w:tabs>
          <w:tab w:pos="1613" w:val="left" w:leader="none"/>
          <w:tab w:pos="2266" w:val="left" w:leader="none"/>
          <w:tab w:pos="2848" w:val="left" w:leader="none"/>
          <w:tab w:pos="3359" w:val="left" w:leader="none"/>
        </w:tabs>
        <w:spacing w:before="63"/>
        <w:ind w:left="535" w:right="0" w:firstLine="0"/>
        <w:jc w:val="left"/>
        <w:rPr>
          <w:sz w:val="9"/>
        </w:rPr>
      </w:pPr>
      <w:r>
        <w:rPr/>
        <w:pict>
          <v:rect style="position:absolute;margin-left:302.119843pt;margin-top:4.700478pt;width:2.617017pt;height:2.611196pt;mso-position-horizontal-relative:page;mso-position-vertical-relative:paragraph;z-index:251781120" filled="true" fillcolor="#696969" stroked="false">
            <v:fill type="solid"/>
            <w10:wrap type="none"/>
          </v:rect>
        </w:pict>
      </w:r>
      <w:r>
        <w:rPr/>
        <w:pict>
          <v:rect style="position:absolute;margin-left:355.992096pt;margin-top:4.700478pt;width:2.617017pt;height:2.611196pt;mso-position-horizontal-relative:page;mso-position-vertical-relative:paragraph;z-index:-258146304" filled="true" fillcolor="#b9b9b9" stroked="false">
            <v:fill type="solid"/>
            <w10:wrap type="none"/>
          </v:rect>
        </w:pict>
      </w:r>
      <w:r>
        <w:rPr/>
        <w:pict>
          <v:rect style="position:absolute;margin-left:388.60907pt;margin-top:4.700478pt;width:2.617017pt;height:2.611196pt;mso-position-horizontal-relative:page;mso-position-vertical-relative:paragraph;z-index:-258145280" filled="true" fillcolor="#e8e8e8" stroked="false">
            <v:fill type="solid"/>
            <w10:wrap type="none"/>
          </v:rect>
        </w:pict>
      </w:r>
      <w:r>
        <w:rPr/>
        <w:pict>
          <v:rect style="position:absolute;margin-left:417.715424pt;margin-top:4.700478pt;width:2.617017pt;height:2.611196pt;mso-position-horizontal-relative:page;mso-position-vertical-relative:paragraph;z-index:-258144256" filled="true" fillcolor="#7ace6c" stroked="false">
            <v:fill type="solid"/>
            <w10:wrap type="none"/>
          </v:rect>
        </w:pict>
      </w:r>
      <w:r>
        <w:rPr/>
        <w:pict>
          <v:rect style="position:absolute;margin-left:443.247284pt;margin-top:4.700478pt;width:2.617017pt;height:2.611196pt;mso-position-horizontal-relative:page;mso-position-vertical-relative:paragraph;z-index:-258143232" filled="true" fillcolor="#2c6822" stroked="false">
            <v:fill type="solid"/>
            <w10:wrap type="none"/>
          </v:rect>
        </w:pict>
      </w:r>
      <w:r>
        <w:rPr>
          <w:color w:val="585858"/>
          <w:w w:val="105"/>
          <w:sz w:val="9"/>
        </w:rPr>
        <w:t>Strongly</w:t>
      </w:r>
      <w:r>
        <w:rPr>
          <w:color w:val="585858"/>
          <w:spacing w:val="2"/>
          <w:w w:val="105"/>
          <w:sz w:val="9"/>
        </w:rPr>
        <w:t> </w:t>
      </w:r>
      <w:r>
        <w:rPr>
          <w:color w:val="585858"/>
          <w:w w:val="105"/>
          <w:sz w:val="9"/>
        </w:rPr>
        <w:t>disagree</w:t>
        <w:tab/>
        <w:t>Disagree</w:t>
        <w:tab/>
        <w:t>Neutral</w:t>
        <w:tab/>
        <w:t>Agree</w:t>
        <w:tab/>
        <w:t>Strongly</w:t>
      </w:r>
      <w:r>
        <w:rPr>
          <w:color w:val="585858"/>
          <w:spacing w:val="1"/>
          <w:w w:val="105"/>
          <w:sz w:val="9"/>
        </w:rPr>
        <w:t> </w:t>
      </w:r>
      <w:r>
        <w:rPr>
          <w:color w:val="585858"/>
          <w:w w:val="105"/>
          <w:sz w:val="9"/>
        </w:rPr>
        <w:t>Agree</w:t>
      </w:r>
    </w:p>
    <w:p>
      <w:pPr>
        <w:spacing w:after="0"/>
        <w:jc w:val="left"/>
        <w:rPr>
          <w:sz w:val="9"/>
        </w:rPr>
        <w:sectPr>
          <w:type w:val="continuous"/>
          <w:pgSz w:w="11910" w:h="16840"/>
          <w:pgMar w:top="700" w:bottom="280" w:left="1140" w:right="700"/>
          <w:cols w:num="2" w:equalWidth="0">
            <w:col w:w="4402" w:space="40"/>
            <w:col w:w="5628"/>
          </w:cols>
        </w:sectPr>
      </w:pPr>
    </w:p>
    <w:p>
      <w:pPr>
        <w:pStyle w:val="BodyText"/>
        <w:spacing w:before="5"/>
        <w:rPr>
          <w:sz w:val="15"/>
        </w:rPr>
      </w:pPr>
    </w:p>
    <w:p>
      <w:pPr>
        <w:spacing w:before="0"/>
        <w:ind w:left="300" w:right="0" w:firstLine="0"/>
        <w:jc w:val="left"/>
        <w:rPr>
          <w:sz w:val="16"/>
        </w:rPr>
      </w:pPr>
      <w:r>
        <w:rPr>
          <w:color w:val="75787A"/>
          <w:sz w:val="16"/>
        </w:rPr>
        <w:t>Source: Deloitte Network Analysis Survey 2022 (total responses n=23)</w:t>
      </w:r>
    </w:p>
    <w:p>
      <w:pPr>
        <w:spacing w:after="0"/>
        <w:jc w:val="left"/>
        <w:rPr>
          <w:sz w:val="16"/>
        </w:rPr>
        <w:sectPr>
          <w:type w:val="continuous"/>
          <w:pgSz w:w="11910" w:h="16840"/>
          <w:pgMar w:top="700" w:bottom="280" w:left="1140" w:right="700"/>
        </w:sectPr>
      </w:pPr>
    </w:p>
    <w:p>
      <w:pPr>
        <w:pStyle w:val="Heading4"/>
        <w:spacing w:line="264" w:lineRule="auto" w:before="109"/>
        <w:ind w:right="1166"/>
      </w:pPr>
      <w:r>
        <w:rPr>
          <w:color w:val="0096A9"/>
        </w:rPr>
        <w:t>The community-controlled sector is more likely to have observed positive changes in their ways of working compared to those who work in government agencies.</w:t>
      </w:r>
    </w:p>
    <w:p>
      <w:pPr>
        <w:pStyle w:val="BodyText"/>
        <w:spacing w:line="264" w:lineRule="auto" w:before="169"/>
        <w:ind w:left="300" w:right="1106"/>
      </w:pPr>
      <w:r>
        <w:rPr/>
        <w:t>As outlined in </w:t>
      </w:r>
      <w:hyperlink w:history="true" w:anchor="_bookmark55">
        <w:r>
          <w:rPr/>
          <w:t>Table 4.3</w:t>
        </w:r>
      </w:hyperlink>
      <w:r>
        <w:rPr/>
        <w:t>, a disaggregation of survey responses by employment background and role revealed that:</w:t>
      </w:r>
    </w:p>
    <w:p>
      <w:pPr>
        <w:pStyle w:val="ListParagraph"/>
        <w:numPr>
          <w:ilvl w:val="1"/>
          <w:numId w:val="33"/>
        </w:numPr>
        <w:tabs>
          <w:tab w:pos="660" w:val="left" w:leader="none"/>
          <w:tab w:pos="661" w:val="left" w:leader="none"/>
        </w:tabs>
        <w:spacing w:line="261" w:lineRule="auto" w:before="169" w:after="0"/>
        <w:ind w:left="660" w:right="826" w:hanging="360"/>
        <w:jc w:val="left"/>
        <w:rPr>
          <w:sz w:val="18"/>
        </w:rPr>
      </w:pPr>
      <w:r>
        <w:rPr>
          <w:sz w:val="18"/>
        </w:rPr>
        <w:t>A higher proportion (83 per cent) of ACCO survey respondents were directly involved in a project to attain the objectives of </w:t>
      </w:r>
      <w:r>
        <w:rPr>
          <w:i/>
          <w:sz w:val="18"/>
        </w:rPr>
        <w:t>Our Way</w:t>
      </w:r>
      <w:r>
        <w:rPr>
          <w:sz w:val="18"/>
        </w:rPr>
        <w:t>. This is unsurprising, given the recent implementation of the Aboriginal and Torres Strait Islander Family Wellbeing Services which is delivered by</w:t>
      </w:r>
      <w:r>
        <w:rPr>
          <w:spacing w:val="-4"/>
          <w:sz w:val="18"/>
        </w:rPr>
        <w:t> </w:t>
      </w:r>
      <w:r>
        <w:rPr>
          <w:sz w:val="18"/>
        </w:rPr>
        <w:t>ACCOs.</w:t>
      </w:r>
    </w:p>
    <w:p>
      <w:pPr>
        <w:pStyle w:val="ListParagraph"/>
        <w:numPr>
          <w:ilvl w:val="1"/>
          <w:numId w:val="33"/>
        </w:numPr>
        <w:tabs>
          <w:tab w:pos="660" w:val="left" w:leader="none"/>
          <w:tab w:pos="661" w:val="left" w:leader="none"/>
        </w:tabs>
        <w:spacing w:line="261" w:lineRule="auto" w:before="4" w:after="0"/>
        <w:ind w:left="660" w:right="806" w:hanging="360"/>
        <w:jc w:val="left"/>
        <w:rPr>
          <w:sz w:val="18"/>
        </w:rPr>
      </w:pPr>
      <w:r>
        <w:rPr>
          <w:sz w:val="18"/>
        </w:rPr>
        <w:t>Those who were employed at ACCOs were more likely to have witnessed changes in their current ways of working as a direct result of </w:t>
      </w:r>
      <w:r>
        <w:rPr>
          <w:i/>
          <w:sz w:val="18"/>
        </w:rPr>
        <w:t>Our Way</w:t>
      </w:r>
      <w:r>
        <w:rPr>
          <w:sz w:val="18"/>
        </w:rPr>
        <w:t>. Two thirds of ACCO survey respondents said that they have observed changes in how their organisations make decisions and work, compared to about 31 per cent of government survey</w:t>
      </w:r>
      <w:r>
        <w:rPr>
          <w:spacing w:val="-11"/>
          <w:sz w:val="18"/>
        </w:rPr>
        <w:t> </w:t>
      </w:r>
      <w:r>
        <w:rPr>
          <w:sz w:val="18"/>
        </w:rPr>
        <w:t>respondents.</w:t>
      </w:r>
    </w:p>
    <w:p>
      <w:pPr>
        <w:pStyle w:val="ListParagraph"/>
        <w:numPr>
          <w:ilvl w:val="1"/>
          <w:numId w:val="33"/>
        </w:numPr>
        <w:tabs>
          <w:tab w:pos="660" w:val="left" w:leader="none"/>
          <w:tab w:pos="661" w:val="left" w:leader="none"/>
        </w:tabs>
        <w:spacing w:line="261" w:lineRule="auto" w:before="5" w:after="0"/>
        <w:ind w:left="660" w:right="749" w:hanging="360"/>
        <w:jc w:val="left"/>
        <w:rPr>
          <w:sz w:val="18"/>
        </w:rPr>
      </w:pPr>
      <w:r>
        <w:rPr>
          <w:sz w:val="18"/>
        </w:rPr>
        <w:t>Almost all survey respondents who were of Aboriginal and Torres Strait Islander descent (noting the comparatively small sample size of 6) agreed that their organisation has embedded </w:t>
      </w:r>
      <w:r>
        <w:rPr>
          <w:i/>
          <w:sz w:val="18"/>
        </w:rPr>
        <w:t>Our Way’s </w:t>
      </w:r>
      <w:r>
        <w:rPr>
          <w:sz w:val="18"/>
        </w:rPr>
        <w:t>principles in strategic planning, decision making and their approach to work. The proportion of non-Indigenous survey respondents who observed these positive changes were generally lower across all</w:t>
      </w:r>
      <w:r>
        <w:rPr>
          <w:spacing w:val="-6"/>
          <w:sz w:val="18"/>
        </w:rPr>
        <w:t> </w:t>
      </w:r>
      <w:r>
        <w:rPr>
          <w:sz w:val="18"/>
        </w:rPr>
        <w:t>aspects.</w:t>
      </w:r>
    </w:p>
    <w:p>
      <w:pPr>
        <w:pStyle w:val="BodyText"/>
        <w:spacing w:before="3"/>
        <w:rPr>
          <w:sz w:val="21"/>
        </w:rPr>
      </w:pPr>
    </w:p>
    <w:p>
      <w:pPr>
        <w:spacing w:line="278" w:lineRule="auto" w:before="0"/>
        <w:ind w:left="300" w:right="1189" w:firstLine="0"/>
        <w:jc w:val="left"/>
        <w:rPr>
          <w:sz w:val="17"/>
        </w:rPr>
      </w:pPr>
      <w:r>
        <w:rPr>
          <w:color w:val="75787A"/>
          <w:sz w:val="17"/>
        </w:rPr>
        <w:t>Table </w:t>
      </w:r>
      <w:bookmarkStart w:name="_bookmark55" w:id="88"/>
      <w:bookmarkEnd w:id="88"/>
      <w:r>
        <w:rPr>
          <w:color w:val="75787A"/>
          <w:sz w:val="17"/>
        </w:rPr>
        <w:t>4.3</w:t>
      </w:r>
      <w:r>
        <w:rPr>
          <w:color w:val="75787A"/>
          <w:sz w:val="17"/>
        </w:rPr>
        <w:t> Disaggregated survey responses to statements related to actions and changes to date (% reflects proportion of survey respondents who agreed or strongly agreed)</w:t>
      </w:r>
    </w:p>
    <w:p>
      <w:pPr>
        <w:pStyle w:val="BodyText"/>
        <w:spacing w:before="1"/>
        <w:rPr>
          <w:sz w:val="17"/>
        </w:rPr>
      </w:pPr>
    </w:p>
    <w:tbl>
      <w:tblPr>
        <w:tblW w:w="0" w:type="auto"/>
        <w:jc w:val="left"/>
        <w:tblInd w:w="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9"/>
        <w:gridCol w:w="746"/>
        <w:gridCol w:w="739"/>
        <w:gridCol w:w="756"/>
        <w:gridCol w:w="746"/>
        <w:gridCol w:w="748"/>
        <w:gridCol w:w="749"/>
        <w:gridCol w:w="746"/>
        <w:gridCol w:w="748"/>
        <w:gridCol w:w="748"/>
      </w:tblGrid>
      <w:tr>
        <w:trPr>
          <w:trHeight w:val="253" w:hRule="atLeast"/>
        </w:trPr>
        <w:tc>
          <w:tcPr>
            <w:tcW w:w="2909" w:type="dxa"/>
            <w:tcBorders>
              <w:right w:val="single" w:sz="4" w:space="0" w:color="000000"/>
            </w:tcBorders>
          </w:tcPr>
          <w:p>
            <w:pPr>
              <w:pStyle w:val="TableParagraph"/>
              <w:rPr>
                <w:rFonts w:ascii="Times New Roman"/>
                <w:sz w:val="14"/>
              </w:rPr>
            </w:pPr>
          </w:p>
        </w:tc>
        <w:tc>
          <w:tcPr>
            <w:tcW w:w="1485" w:type="dxa"/>
            <w:gridSpan w:val="2"/>
            <w:tcBorders>
              <w:left w:val="single" w:sz="4" w:space="0" w:color="000000"/>
              <w:right w:val="single" w:sz="4" w:space="0" w:color="000000"/>
            </w:tcBorders>
            <w:shd w:val="clear" w:color="auto" w:fill="C4EEFF"/>
          </w:tcPr>
          <w:p>
            <w:pPr>
              <w:pStyle w:val="TableParagraph"/>
              <w:spacing w:line="119" w:lineRule="exact"/>
              <w:ind w:left="480"/>
              <w:rPr>
                <w:b/>
                <w:sz w:val="10"/>
              </w:rPr>
            </w:pPr>
            <w:r>
              <w:rPr>
                <w:b/>
                <w:color w:val="00506E"/>
                <w:sz w:val="10"/>
              </w:rPr>
              <w:t>Employer</w:t>
            </w:r>
          </w:p>
        </w:tc>
        <w:tc>
          <w:tcPr>
            <w:tcW w:w="756" w:type="dxa"/>
            <w:vMerge w:val="restart"/>
            <w:tcBorders>
              <w:left w:val="single" w:sz="4" w:space="0" w:color="000000"/>
              <w:bottom w:val="single" w:sz="4" w:space="0" w:color="000000"/>
            </w:tcBorders>
            <w:shd w:val="clear" w:color="auto" w:fill="51CFFF"/>
          </w:tcPr>
          <w:p>
            <w:pPr>
              <w:pStyle w:val="TableParagraph"/>
              <w:rPr>
                <w:sz w:val="12"/>
              </w:rPr>
            </w:pPr>
          </w:p>
          <w:p>
            <w:pPr>
              <w:pStyle w:val="TableParagraph"/>
              <w:rPr>
                <w:sz w:val="12"/>
              </w:rPr>
            </w:pPr>
          </w:p>
          <w:p>
            <w:pPr>
              <w:pStyle w:val="TableParagraph"/>
              <w:spacing w:before="9"/>
              <w:rPr>
                <w:sz w:val="11"/>
              </w:rPr>
            </w:pPr>
          </w:p>
          <w:p>
            <w:pPr>
              <w:pStyle w:val="TableParagraph"/>
              <w:ind w:left="156" w:right="148"/>
              <w:jc w:val="center"/>
              <w:rPr>
                <w:sz w:val="10"/>
              </w:rPr>
            </w:pPr>
            <w:r>
              <w:rPr>
                <w:color w:val="00506E"/>
                <w:sz w:val="10"/>
              </w:rPr>
              <w:t>Frontline service delivery</w:t>
            </w:r>
          </w:p>
          <w:p>
            <w:pPr>
              <w:pStyle w:val="TableParagraph"/>
              <w:spacing w:line="102" w:lineRule="exact" w:before="72"/>
              <w:ind w:left="5"/>
              <w:jc w:val="center"/>
              <w:rPr>
                <w:sz w:val="10"/>
              </w:rPr>
            </w:pPr>
            <w:r>
              <w:rPr>
                <w:color w:val="00506E"/>
                <w:w w:val="100"/>
                <w:sz w:val="10"/>
              </w:rPr>
              <w:t>6</w:t>
            </w:r>
          </w:p>
        </w:tc>
        <w:tc>
          <w:tcPr>
            <w:tcW w:w="1494" w:type="dxa"/>
            <w:gridSpan w:val="2"/>
            <w:vMerge w:val="restart"/>
            <w:tcBorders>
              <w:bottom w:val="single" w:sz="4" w:space="0" w:color="000000"/>
            </w:tcBorders>
            <w:shd w:val="clear" w:color="auto" w:fill="51CFFF"/>
          </w:tcPr>
          <w:p>
            <w:pPr>
              <w:pStyle w:val="TableParagraph"/>
              <w:spacing w:line="119" w:lineRule="exact"/>
              <w:ind w:left="5"/>
              <w:jc w:val="center"/>
              <w:rPr>
                <w:b/>
                <w:sz w:val="10"/>
              </w:rPr>
            </w:pPr>
            <w:r>
              <w:rPr>
                <w:b/>
                <w:color w:val="00506E"/>
                <w:sz w:val="10"/>
              </w:rPr>
              <w:t>Role</w:t>
            </w:r>
          </w:p>
          <w:p>
            <w:pPr>
              <w:pStyle w:val="TableParagraph"/>
              <w:rPr>
                <w:sz w:val="12"/>
              </w:rPr>
            </w:pPr>
          </w:p>
          <w:p>
            <w:pPr>
              <w:pStyle w:val="TableParagraph"/>
              <w:spacing w:before="11"/>
              <w:rPr>
                <w:sz w:val="13"/>
              </w:rPr>
            </w:pPr>
          </w:p>
          <w:p>
            <w:pPr>
              <w:pStyle w:val="TableParagraph"/>
              <w:ind w:left="123" w:right="841" w:firstLine="72"/>
              <w:rPr>
                <w:sz w:val="10"/>
              </w:rPr>
            </w:pPr>
            <w:r>
              <w:rPr>
                <w:color w:val="00506E"/>
                <w:sz w:val="10"/>
              </w:rPr>
              <w:t>Central policy and</w:t>
            </w:r>
          </w:p>
          <w:p>
            <w:pPr>
              <w:pStyle w:val="TableParagraph"/>
              <w:tabs>
                <w:tab w:pos="884" w:val="left" w:leader="none"/>
              </w:tabs>
              <w:spacing w:before="2"/>
              <w:ind w:left="171"/>
              <w:rPr>
                <w:sz w:val="10"/>
              </w:rPr>
            </w:pPr>
            <w:r>
              <w:rPr>
                <w:color w:val="00506E"/>
                <w:sz w:val="10"/>
              </w:rPr>
              <w:t>strategy</w:t>
              <w:tab/>
              <w:t>Executive</w:t>
            </w:r>
          </w:p>
          <w:p>
            <w:pPr>
              <w:pStyle w:val="TableParagraph"/>
              <w:tabs>
                <w:tab w:pos="761" w:val="left" w:leader="none"/>
              </w:tabs>
              <w:spacing w:line="102" w:lineRule="exact" w:before="70"/>
              <w:ind w:left="12"/>
              <w:jc w:val="center"/>
              <w:rPr>
                <w:sz w:val="10"/>
              </w:rPr>
            </w:pPr>
            <w:r>
              <w:rPr>
                <w:color w:val="00506E"/>
                <w:sz w:val="10"/>
              </w:rPr>
              <w:t>5</w:t>
              <w:tab/>
              <w:t>2</w:t>
            </w:r>
          </w:p>
        </w:tc>
        <w:tc>
          <w:tcPr>
            <w:tcW w:w="749" w:type="dxa"/>
            <w:vMerge w:val="restart"/>
            <w:tcBorders>
              <w:bottom w:val="single" w:sz="4" w:space="0" w:color="000000"/>
              <w:right w:val="single" w:sz="4" w:space="0" w:color="000000"/>
            </w:tcBorders>
            <w:shd w:val="clear" w:color="auto" w:fill="51CFFF"/>
          </w:tcPr>
          <w:p>
            <w:pPr>
              <w:pStyle w:val="TableParagraph"/>
              <w:rPr>
                <w:sz w:val="12"/>
              </w:rPr>
            </w:pPr>
          </w:p>
          <w:p>
            <w:pPr>
              <w:pStyle w:val="TableParagraph"/>
              <w:rPr>
                <w:sz w:val="12"/>
              </w:rPr>
            </w:pPr>
          </w:p>
          <w:p>
            <w:pPr>
              <w:pStyle w:val="TableParagraph"/>
              <w:spacing w:before="9"/>
              <w:rPr>
                <w:sz w:val="11"/>
              </w:rPr>
            </w:pPr>
          </w:p>
          <w:p>
            <w:pPr>
              <w:pStyle w:val="TableParagraph"/>
              <w:ind w:left="206" w:right="185" w:firstLine="9"/>
              <w:jc w:val="both"/>
              <w:rPr>
                <w:sz w:val="10"/>
              </w:rPr>
            </w:pPr>
            <w:r>
              <w:rPr>
                <w:color w:val="00506E"/>
                <w:sz w:val="10"/>
              </w:rPr>
              <w:t>Other; please specify</w:t>
            </w:r>
          </w:p>
          <w:p>
            <w:pPr>
              <w:pStyle w:val="TableParagraph"/>
              <w:spacing w:line="102" w:lineRule="exact" w:before="72"/>
              <w:ind w:left="21"/>
              <w:jc w:val="center"/>
              <w:rPr>
                <w:sz w:val="10"/>
              </w:rPr>
            </w:pPr>
            <w:r>
              <w:rPr>
                <w:color w:val="00506E"/>
                <w:w w:val="100"/>
                <w:sz w:val="10"/>
              </w:rPr>
              <w:t>5</w:t>
            </w:r>
          </w:p>
        </w:tc>
        <w:tc>
          <w:tcPr>
            <w:tcW w:w="2242" w:type="dxa"/>
            <w:gridSpan w:val="3"/>
            <w:vMerge w:val="restart"/>
            <w:tcBorders>
              <w:left w:val="single" w:sz="4" w:space="0" w:color="000000"/>
              <w:bottom w:val="single" w:sz="4" w:space="0" w:color="000000"/>
              <w:right w:val="single" w:sz="4" w:space="0" w:color="000000"/>
            </w:tcBorders>
            <w:shd w:val="clear" w:color="auto" w:fill="00506E"/>
          </w:tcPr>
          <w:p>
            <w:pPr>
              <w:pStyle w:val="TableParagraph"/>
              <w:spacing w:line="119" w:lineRule="exact"/>
              <w:ind w:left="17"/>
              <w:jc w:val="center"/>
              <w:rPr>
                <w:b/>
                <w:sz w:val="10"/>
              </w:rPr>
            </w:pPr>
            <w:r>
              <w:rPr>
                <w:b/>
                <w:color w:val="C4EEFF"/>
                <w:sz w:val="10"/>
              </w:rPr>
              <w:t>Indigenous status</w:t>
            </w:r>
          </w:p>
          <w:p>
            <w:pPr>
              <w:pStyle w:val="TableParagraph"/>
              <w:tabs>
                <w:tab w:pos="1783" w:val="left" w:leader="none"/>
              </w:tabs>
              <w:spacing w:before="73"/>
              <w:ind w:left="871"/>
              <w:rPr>
                <w:sz w:val="10"/>
              </w:rPr>
            </w:pPr>
            <w:r>
              <w:rPr>
                <w:color w:val="C4EEFF"/>
                <w:sz w:val="10"/>
              </w:rPr>
              <w:t>Aboriginal</w:t>
              <w:tab/>
              <w:t>Not</w:t>
            </w:r>
          </w:p>
          <w:p>
            <w:pPr>
              <w:pStyle w:val="TableParagraph"/>
              <w:tabs>
                <w:tab w:pos="1620" w:val="left" w:leader="none"/>
              </w:tabs>
              <w:spacing w:line="121" w:lineRule="exact"/>
              <w:ind w:left="1029"/>
              <w:rPr>
                <w:sz w:val="10"/>
              </w:rPr>
            </w:pPr>
            <w:r>
              <w:rPr>
                <w:color w:val="C4EEFF"/>
                <w:sz w:val="10"/>
              </w:rPr>
              <w:t>and</w:t>
              <w:tab/>
              <w:t>Aboriginal</w:t>
            </w:r>
          </w:p>
          <w:p>
            <w:pPr>
              <w:pStyle w:val="TableParagraph"/>
              <w:tabs>
                <w:tab w:pos="1641" w:val="left" w:leader="none"/>
              </w:tabs>
              <w:spacing w:line="121" w:lineRule="exact"/>
              <w:ind w:left="962"/>
              <w:rPr>
                <w:sz w:val="10"/>
              </w:rPr>
            </w:pPr>
            <w:r>
              <w:rPr>
                <w:color w:val="C4EEFF"/>
                <w:sz w:val="10"/>
              </w:rPr>
              <w:t>Torres</w:t>
              <w:tab/>
              <w:t>or Torres</w:t>
            </w:r>
          </w:p>
          <w:p>
            <w:pPr>
              <w:pStyle w:val="TableParagraph"/>
              <w:tabs>
                <w:tab w:pos="917" w:val="left" w:leader="none"/>
                <w:tab w:pos="1665" w:val="left" w:leader="none"/>
                <w:tab w:pos="1733" w:val="left" w:leader="none"/>
              </w:tabs>
              <w:spacing w:before="1"/>
              <w:ind w:left="125" w:right="151" w:firstLine="859"/>
              <w:rPr>
                <w:sz w:val="10"/>
              </w:rPr>
            </w:pPr>
            <w:r>
              <w:rPr>
                <w:color w:val="C4EEFF"/>
                <w:sz w:val="10"/>
              </w:rPr>
              <w:t>Strait</w:t>
              <w:tab/>
              <w:tab/>
              <w:t>Strait Aboriginal</w:t>
              <w:tab/>
              <w:t>Islander</w:t>
              <w:tab/>
            </w:r>
            <w:r>
              <w:rPr>
                <w:color w:val="C4EEFF"/>
                <w:spacing w:val="-3"/>
                <w:sz w:val="10"/>
              </w:rPr>
              <w:t>Islander</w:t>
            </w:r>
          </w:p>
          <w:p>
            <w:pPr>
              <w:pStyle w:val="TableParagraph"/>
              <w:tabs>
                <w:tab w:pos="797" w:val="left" w:leader="none"/>
                <w:tab w:pos="1512" w:val="left" w:leader="none"/>
              </w:tabs>
              <w:spacing w:line="102" w:lineRule="exact" w:before="72"/>
              <w:ind w:left="48"/>
              <w:jc w:val="center"/>
              <w:rPr>
                <w:sz w:val="10"/>
              </w:rPr>
            </w:pPr>
            <w:r>
              <w:rPr>
                <w:color w:val="C4EEFF"/>
                <w:sz w:val="10"/>
              </w:rPr>
              <w:t>4</w:t>
              <w:tab/>
              <w:t>2</w:t>
              <w:tab/>
              <w:t>14</w:t>
            </w:r>
          </w:p>
        </w:tc>
      </w:tr>
      <w:tr>
        <w:trPr>
          <w:trHeight w:val="330" w:hRule="atLeast"/>
        </w:trPr>
        <w:tc>
          <w:tcPr>
            <w:tcW w:w="2909" w:type="dxa"/>
            <w:tcBorders>
              <w:right w:val="single" w:sz="4" w:space="0" w:color="000000"/>
            </w:tcBorders>
          </w:tcPr>
          <w:p>
            <w:pPr>
              <w:pStyle w:val="TableParagraph"/>
              <w:spacing w:before="1"/>
              <w:rPr>
                <w:sz w:val="11"/>
              </w:rPr>
            </w:pPr>
          </w:p>
          <w:p>
            <w:pPr>
              <w:pStyle w:val="TableParagraph"/>
              <w:ind w:left="112"/>
              <w:rPr>
                <w:b/>
                <w:sz w:val="10"/>
              </w:rPr>
            </w:pPr>
            <w:r>
              <w:rPr>
                <w:b/>
                <w:sz w:val="10"/>
              </w:rPr>
              <w:t>Actions and changes to date</w:t>
            </w:r>
          </w:p>
        </w:tc>
        <w:tc>
          <w:tcPr>
            <w:tcW w:w="1485" w:type="dxa"/>
            <w:gridSpan w:val="2"/>
            <w:tcBorders>
              <w:left w:val="single" w:sz="4" w:space="0" w:color="000000"/>
              <w:right w:val="single" w:sz="4" w:space="0" w:color="000000"/>
            </w:tcBorders>
            <w:shd w:val="clear" w:color="auto" w:fill="C4EEFF"/>
          </w:tcPr>
          <w:p>
            <w:pPr>
              <w:pStyle w:val="TableParagraph"/>
              <w:rPr>
                <w:rFonts w:ascii="Times New Roman"/>
                <w:sz w:val="14"/>
              </w:rPr>
            </w:pPr>
          </w:p>
        </w:tc>
        <w:tc>
          <w:tcPr>
            <w:tcW w:w="756" w:type="dxa"/>
            <w:vMerge/>
            <w:tcBorders>
              <w:top w:val="nil"/>
              <w:left w:val="single" w:sz="4" w:space="0" w:color="000000"/>
              <w:bottom w:val="single" w:sz="4" w:space="0" w:color="000000"/>
            </w:tcBorders>
            <w:shd w:val="clear" w:color="auto" w:fill="51CFFF"/>
          </w:tcPr>
          <w:p>
            <w:pPr>
              <w:rPr>
                <w:sz w:val="2"/>
                <w:szCs w:val="2"/>
              </w:rPr>
            </w:pPr>
          </w:p>
        </w:tc>
        <w:tc>
          <w:tcPr>
            <w:tcW w:w="1494" w:type="dxa"/>
            <w:gridSpan w:val="2"/>
            <w:vMerge/>
            <w:tcBorders>
              <w:top w:val="nil"/>
              <w:bottom w:val="single" w:sz="4" w:space="0" w:color="000000"/>
            </w:tcBorders>
            <w:shd w:val="clear" w:color="auto" w:fill="51CFFF"/>
          </w:tcPr>
          <w:p>
            <w:pPr>
              <w:rPr>
                <w:sz w:val="2"/>
                <w:szCs w:val="2"/>
              </w:rPr>
            </w:pPr>
          </w:p>
        </w:tc>
        <w:tc>
          <w:tcPr>
            <w:tcW w:w="749" w:type="dxa"/>
            <w:vMerge/>
            <w:tcBorders>
              <w:top w:val="nil"/>
              <w:bottom w:val="single" w:sz="4" w:space="0" w:color="000000"/>
              <w:right w:val="single" w:sz="4" w:space="0" w:color="000000"/>
            </w:tcBorders>
            <w:shd w:val="clear" w:color="auto" w:fill="51CFFF"/>
          </w:tcPr>
          <w:p>
            <w:pPr>
              <w:rPr>
                <w:sz w:val="2"/>
                <w:szCs w:val="2"/>
              </w:rPr>
            </w:pPr>
          </w:p>
        </w:tc>
        <w:tc>
          <w:tcPr>
            <w:tcW w:w="2242" w:type="dxa"/>
            <w:gridSpan w:val="3"/>
            <w:vMerge/>
            <w:tcBorders>
              <w:top w:val="nil"/>
              <w:left w:val="single" w:sz="4" w:space="0" w:color="000000"/>
              <w:bottom w:val="single" w:sz="4" w:space="0" w:color="000000"/>
              <w:right w:val="single" w:sz="4" w:space="0" w:color="000000"/>
            </w:tcBorders>
            <w:shd w:val="clear" w:color="auto" w:fill="00506E"/>
          </w:tcPr>
          <w:p>
            <w:pPr>
              <w:rPr>
                <w:sz w:val="2"/>
                <w:szCs w:val="2"/>
              </w:rPr>
            </w:pPr>
          </w:p>
        </w:tc>
      </w:tr>
      <w:tr>
        <w:trPr>
          <w:trHeight w:val="226" w:hRule="atLeast"/>
        </w:trPr>
        <w:tc>
          <w:tcPr>
            <w:tcW w:w="2909" w:type="dxa"/>
            <w:tcBorders>
              <w:right w:val="single" w:sz="4" w:space="0" w:color="000000"/>
            </w:tcBorders>
          </w:tcPr>
          <w:p>
            <w:pPr>
              <w:pStyle w:val="TableParagraph"/>
              <w:rPr>
                <w:rFonts w:ascii="Times New Roman"/>
                <w:sz w:val="14"/>
              </w:rPr>
            </w:pPr>
          </w:p>
        </w:tc>
        <w:tc>
          <w:tcPr>
            <w:tcW w:w="1485" w:type="dxa"/>
            <w:gridSpan w:val="2"/>
            <w:tcBorders>
              <w:left w:val="single" w:sz="4" w:space="0" w:color="000000"/>
              <w:right w:val="single" w:sz="4" w:space="0" w:color="000000"/>
            </w:tcBorders>
            <w:shd w:val="clear" w:color="auto" w:fill="C4EEFF"/>
          </w:tcPr>
          <w:p>
            <w:pPr>
              <w:pStyle w:val="TableParagraph"/>
              <w:tabs>
                <w:tab w:pos="945" w:val="left" w:leader="none"/>
              </w:tabs>
              <w:spacing w:before="75"/>
              <w:ind w:left="273"/>
              <w:rPr>
                <w:sz w:val="10"/>
              </w:rPr>
            </w:pPr>
            <w:r>
              <w:rPr>
                <w:color w:val="00506E"/>
                <w:sz w:val="10"/>
              </w:rPr>
              <w:t>Gov</w:t>
              <w:tab/>
              <w:t>ACCOs</w:t>
            </w:r>
          </w:p>
        </w:tc>
        <w:tc>
          <w:tcPr>
            <w:tcW w:w="756" w:type="dxa"/>
            <w:vMerge/>
            <w:tcBorders>
              <w:top w:val="nil"/>
              <w:left w:val="single" w:sz="4" w:space="0" w:color="000000"/>
              <w:bottom w:val="single" w:sz="4" w:space="0" w:color="000000"/>
            </w:tcBorders>
            <w:shd w:val="clear" w:color="auto" w:fill="51CFFF"/>
          </w:tcPr>
          <w:p>
            <w:pPr>
              <w:rPr>
                <w:sz w:val="2"/>
                <w:szCs w:val="2"/>
              </w:rPr>
            </w:pPr>
          </w:p>
        </w:tc>
        <w:tc>
          <w:tcPr>
            <w:tcW w:w="1494" w:type="dxa"/>
            <w:gridSpan w:val="2"/>
            <w:vMerge/>
            <w:tcBorders>
              <w:top w:val="nil"/>
              <w:bottom w:val="single" w:sz="4" w:space="0" w:color="000000"/>
            </w:tcBorders>
            <w:shd w:val="clear" w:color="auto" w:fill="51CFFF"/>
          </w:tcPr>
          <w:p>
            <w:pPr>
              <w:rPr>
                <w:sz w:val="2"/>
                <w:szCs w:val="2"/>
              </w:rPr>
            </w:pPr>
          </w:p>
        </w:tc>
        <w:tc>
          <w:tcPr>
            <w:tcW w:w="749" w:type="dxa"/>
            <w:vMerge/>
            <w:tcBorders>
              <w:top w:val="nil"/>
              <w:bottom w:val="single" w:sz="4" w:space="0" w:color="000000"/>
              <w:right w:val="single" w:sz="4" w:space="0" w:color="000000"/>
            </w:tcBorders>
            <w:shd w:val="clear" w:color="auto" w:fill="51CFFF"/>
          </w:tcPr>
          <w:p>
            <w:pPr>
              <w:rPr>
                <w:sz w:val="2"/>
                <w:szCs w:val="2"/>
              </w:rPr>
            </w:pPr>
          </w:p>
        </w:tc>
        <w:tc>
          <w:tcPr>
            <w:tcW w:w="2242" w:type="dxa"/>
            <w:gridSpan w:val="3"/>
            <w:vMerge/>
            <w:tcBorders>
              <w:top w:val="nil"/>
              <w:left w:val="single" w:sz="4" w:space="0" w:color="000000"/>
              <w:bottom w:val="single" w:sz="4" w:space="0" w:color="000000"/>
              <w:right w:val="single" w:sz="4" w:space="0" w:color="000000"/>
            </w:tcBorders>
            <w:shd w:val="clear" w:color="auto" w:fill="00506E"/>
          </w:tcPr>
          <w:p>
            <w:pPr>
              <w:rPr>
                <w:sz w:val="2"/>
                <w:szCs w:val="2"/>
              </w:rPr>
            </w:pPr>
          </w:p>
        </w:tc>
      </w:tr>
      <w:tr>
        <w:trPr>
          <w:trHeight w:val="152" w:hRule="atLeast"/>
        </w:trPr>
        <w:tc>
          <w:tcPr>
            <w:tcW w:w="2909" w:type="dxa"/>
            <w:tcBorders>
              <w:bottom w:val="single" w:sz="4" w:space="0" w:color="000000"/>
              <w:right w:val="single" w:sz="4" w:space="0" w:color="000000"/>
            </w:tcBorders>
          </w:tcPr>
          <w:p>
            <w:pPr>
              <w:pStyle w:val="TableParagraph"/>
              <w:rPr>
                <w:rFonts w:ascii="Times New Roman"/>
                <w:sz w:val="8"/>
              </w:rPr>
            </w:pPr>
          </w:p>
        </w:tc>
        <w:tc>
          <w:tcPr>
            <w:tcW w:w="1485" w:type="dxa"/>
            <w:gridSpan w:val="2"/>
            <w:tcBorders>
              <w:left w:val="single" w:sz="4" w:space="0" w:color="000000"/>
              <w:bottom w:val="single" w:sz="4" w:space="0" w:color="000000"/>
              <w:right w:val="single" w:sz="4" w:space="0" w:color="000000"/>
            </w:tcBorders>
            <w:shd w:val="clear" w:color="auto" w:fill="C4EEFF"/>
          </w:tcPr>
          <w:p>
            <w:pPr>
              <w:pStyle w:val="TableParagraph"/>
              <w:tabs>
                <w:tab w:pos="1084" w:val="left" w:leader="none"/>
              </w:tabs>
              <w:spacing w:line="102" w:lineRule="exact" w:before="30"/>
              <w:ind w:left="309"/>
              <w:rPr>
                <w:sz w:val="10"/>
              </w:rPr>
            </w:pPr>
            <w:r>
              <w:rPr>
                <w:color w:val="00506E"/>
                <w:sz w:val="10"/>
              </w:rPr>
              <w:t>16</w:t>
              <w:tab/>
              <w:t>6</w:t>
            </w:r>
          </w:p>
        </w:tc>
        <w:tc>
          <w:tcPr>
            <w:tcW w:w="756" w:type="dxa"/>
            <w:vMerge/>
            <w:tcBorders>
              <w:top w:val="nil"/>
              <w:left w:val="single" w:sz="4" w:space="0" w:color="000000"/>
              <w:bottom w:val="single" w:sz="4" w:space="0" w:color="000000"/>
            </w:tcBorders>
            <w:shd w:val="clear" w:color="auto" w:fill="51CFFF"/>
          </w:tcPr>
          <w:p>
            <w:pPr>
              <w:rPr>
                <w:sz w:val="2"/>
                <w:szCs w:val="2"/>
              </w:rPr>
            </w:pPr>
          </w:p>
        </w:tc>
        <w:tc>
          <w:tcPr>
            <w:tcW w:w="1494" w:type="dxa"/>
            <w:gridSpan w:val="2"/>
            <w:vMerge/>
            <w:tcBorders>
              <w:top w:val="nil"/>
              <w:bottom w:val="single" w:sz="4" w:space="0" w:color="000000"/>
            </w:tcBorders>
            <w:shd w:val="clear" w:color="auto" w:fill="51CFFF"/>
          </w:tcPr>
          <w:p>
            <w:pPr>
              <w:rPr>
                <w:sz w:val="2"/>
                <w:szCs w:val="2"/>
              </w:rPr>
            </w:pPr>
          </w:p>
        </w:tc>
        <w:tc>
          <w:tcPr>
            <w:tcW w:w="749" w:type="dxa"/>
            <w:vMerge/>
            <w:tcBorders>
              <w:top w:val="nil"/>
              <w:bottom w:val="single" w:sz="4" w:space="0" w:color="000000"/>
              <w:right w:val="single" w:sz="4" w:space="0" w:color="000000"/>
            </w:tcBorders>
            <w:shd w:val="clear" w:color="auto" w:fill="51CFFF"/>
          </w:tcPr>
          <w:p>
            <w:pPr>
              <w:rPr>
                <w:sz w:val="2"/>
                <w:szCs w:val="2"/>
              </w:rPr>
            </w:pPr>
          </w:p>
        </w:tc>
        <w:tc>
          <w:tcPr>
            <w:tcW w:w="2242" w:type="dxa"/>
            <w:gridSpan w:val="3"/>
            <w:vMerge/>
            <w:tcBorders>
              <w:top w:val="nil"/>
              <w:left w:val="single" w:sz="4" w:space="0" w:color="000000"/>
              <w:bottom w:val="single" w:sz="4" w:space="0" w:color="000000"/>
              <w:right w:val="single" w:sz="4" w:space="0" w:color="000000"/>
            </w:tcBorders>
            <w:shd w:val="clear" w:color="auto" w:fill="00506E"/>
          </w:tcPr>
          <w:p>
            <w:pPr>
              <w:rPr>
                <w:sz w:val="2"/>
                <w:szCs w:val="2"/>
              </w:rPr>
            </w:pPr>
          </w:p>
        </w:tc>
      </w:tr>
      <w:tr>
        <w:trPr>
          <w:trHeight w:val="396" w:hRule="atLeast"/>
        </w:trPr>
        <w:tc>
          <w:tcPr>
            <w:tcW w:w="2909" w:type="dxa"/>
            <w:tcBorders>
              <w:top w:val="single" w:sz="4" w:space="0" w:color="000000"/>
              <w:right w:val="single" w:sz="4" w:space="0" w:color="000000"/>
            </w:tcBorders>
          </w:tcPr>
          <w:p>
            <w:pPr>
              <w:pStyle w:val="TableParagraph"/>
              <w:spacing w:before="14"/>
              <w:ind w:left="112"/>
              <w:rPr>
                <w:sz w:val="10"/>
              </w:rPr>
            </w:pPr>
            <w:r>
              <w:rPr>
                <w:sz w:val="10"/>
              </w:rPr>
              <w:t>I have been </w:t>
            </w:r>
            <w:r>
              <w:rPr>
                <w:b/>
                <w:sz w:val="10"/>
              </w:rPr>
              <w:t>involved in a project </w:t>
            </w:r>
            <w:r>
              <w:rPr>
                <w:sz w:val="10"/>
              </w:rPr>
              <w:t>within my</w:t>
            </w:r>
          </w:p>
          <w:p>
            <w:pPr>
              <w:pStyle w:val="TableParagraph"/>
              <w:spacing w:line="120" w:lineRule="exact" w:before="6"/>
              <w:ind w:left="112" w:right="471"/>
              <w:rPr>
                <w:i/>
                <w:sz w:val="10"/>
              </w:rPr>
            </w:pPr>
            <w:r>
              <w:rPr>
                <w:sz w:val="10"/>
              </w:rPr>
              <w:t>organisation supporting the attainment of the objectives of </w:t>
            </w:r>
            <w:r>
              <w:rPr>
                <w:i/>
                <w:sz w:val="10"/>
              </w:rPr>
              <w:t>Our Way</w:t>
            </w:r>
          </w:p>
        </w:tc>
        <w:tc>
          <w:tcPr>
            <w:tcW w:w="746" w:type="dxa"/>
            <w:tcBorders>
              <w:top w:val="single" w:sz="4" w:space="0" w:color="000000"/>
              <w:left w:val="single" w:sz="4" w:space="0" w:color="000000"/>
            </w:tcBorders>
            <w:shd w:val="clear" w:color="auto" w:fill="E0E695"/>
          </w:tcPr>
          <w:p>
            <w:pPr>
              <w:pStyle w:val="TableParagraph"/>
              <w:spacing w:before="3"/>
              <w:rPr>
                <w:sz w:val="11"/>
              </w:rPr>
            </w:pPr>
          </w:p>
          <w:p>
            <w:pPr>
              <w:pStyle w:val="TableParagraph"/>
              <w:ind w:right="245"/>
              <w:jc w:val="right"/>
              <w:rPr>
                <w:sz w:val="10"/>
              </w:rPr>
            </w:pPr>
            <w:r>
              <w:rPr>
                <w:sz w:val="10"/>
              </w:rPr>
              <w:t>38%</w:t>
            </w:r>
          </w:p>
        </w:tc>
        <w:tc>
          <w:tcPr>
            <w:tcW w:w="739" w:type="dxa"/>
            <w:tcBorders>
              <w:top w:val="single" w:sz="4" w:space="0" w:color="000000"/>
              <w:right w:val="single" w:sz="4" w:space="0" w:color="000000"/>
            </w:tcBorders>
            <w:shd w:val="clear" w:color="auto" w:fill="62BD7A"/>
          </w:tcPr>
          <w:p>
            <w:pPr>
              <w:pStyle w:val="TableParagraph"/>
              <w:spacing w:before="3"/>
              <w:rPr>
                <w:sz w:val="11"/>
              </w:rPr>
            </w:pPr>
          </w:p>
          <w:p>
            <w:pPr>
              <w:pStyle w:val="TableParagraph"/>
              <w:ind w:left="239" w:right="220"/>
              <w:jc w:val="center"/>
              <w:rPr>
                <w:sz w:val="10"/>
              </w:rPr>
            </w:pPr>
            <w:r>
              <w:rPr>
                <w:sz w:val="10"/>
              </w:rPr>
              <w:t>83%</w:t>
            </w:r>
          </w:p>
        </w:tc>
        <w:tc>
          <w:tcPr>
            <w:tcW w:w="756" w:type="dxa"/>
            <w:tcBorders>
              <w:top w:val="single" w:sz="4" w:space="0" w:color="000000"/>
              <w:left w:val="single" w:sz="4" w:space="0" w:color="000000"/>
            </w:tcBorders>
            <w:shd w:val="clear" w:color="auto" w:fill="E4E796"/>
          </w:tcPr>
          <w:p>
            <w:pPr>
              <w:pStyle w:val="TableParagraph"/>
              <w:spacing w:before="3"/>
              <w:rPr>
                <w:sz w:val="11"/>
              </w:rPr>
            </w:pPr>
          </w:p>
          <w:p>
            <w:pPr>
              <w:pStyle w:val="TableParagraph"/>
              <w:ind w:left="155" w:right="148"/>
              <w:jc w:val="center"/>
              <w:rPr>
                <w:sz w:val="10"/>
              </w:rPr>
            </w:pPr>
            <w:r>
              <w:rPr>
                <w:sz w:val="10"/>
              </w:rPr>
              <w:t>17%</w:t>
            </w:r>
          </w:p>
        </w:tc>
        <w:tc>
          <w:tcPr>
            <w:tcW w:w="746" w:type="dxa"/>
            <w:tcBorders>
              <w:top w:val="single" w:sz="4" w:space="0" w:color="000000"/>
            </w:tcBorders>
            <w:shd w:val="clear" w:color="auto" w:fill="83C782"/>
          </w:tcPr>
          <w:p>
            <w:pPr>
              <w:pStyle w:val="TableParagraph"/>
              <w:spacing w:before="3"/>
              <w:rPr>
                <w:sz w:val="11"/>
              </w:rPr>
            </w:pPr>
          </w:p>
          <w:p>
            <w:pPr>
              <w:pStyle w:val="TableParagraph"/>
              <w:ind w:right="244"/>
              <w:jc w:val="right"/>
              <w:rPr>
                <w:sz w:val="10"/>
              </w:rPr>
            </w:pPr>
            <w:r>
              <w:rPr>
                <w:sz w:val="10"/>
              </w:rPr>
              <w:t>80%</w:t>
            </w:r>
          </w:p>
        </w:tc>
        <w:tc>
          <w:tcPr>
            <w:tcW w:w="748" w:type="dxa"/>
            <w:tcBorders>
              <w:top w:val="single" w:sz="4" w:space="0" w:color="000000"/>
            </w:tcBorders>
            <w:shd w:val="clear" w:color="auto" w:fill="62BD7A"/>
          </w:tcPr>
          <w:p>
            <w:pPr>
              <w:pStyle w:val="TableParagraph"/>
              <w:spacing w:before="3"/>
              <w:rPr>
                <w:sz w:val="11"/>
              </w:rPr>
            </w:pPr>
          </w:p>
          <w:p>
            <w:pPr>
              <w:pStyle w:val="TableParagraph"/>
              <w:ind w:left="212" w:right="196"/>
              <w:jc w:val="center"/>
              <w:rPr>
                <w:sz w:val="10"/>
              </w:rPr>
            </w:pPr>
            <w:r>
              <w:rPr>
                <w:sz w:val="10"/>
              </w:rPr>
              <w:t>100%</w:t>
            </w:r>
          </w:p>
        </w:tc>
        <w:tc>
          <w:tcPr>
            <w:tcW w:w="749" w:type="dxa"/>
            <w:tcBorders>
              <w:top w:val="single" w:sz="4" w:space="0" w:color="000000"/>
              <w:right w:val="single" w:sz="4" w:space="0" w:color="000000"/>
            </w:tcBorders>
            <w:shd w:val="clear" w:color="auto" w:fill="A1D288"/>
          </w:tcPr>
          <w:p>
            <w:pPr>
              <w:pStyle w:val="TableParagraph"/>
              <w:spacing w:before="3"/>
              <w:rPr>
                <w:sz w:val="11"/>
              </w:rPr>
            </w:pPr>
          </w:p>
          <w:p>
            <w:pPr>
              <w:pStyle w:val="TableParagraph"/>
              <w:ind w:left="246" w:right="223"/>
              <w:jc w:val="center"/>
              <w:rPr>
                <w:sz w:val="10"/>
              </w:rPr>
            </w:pPr>
            <w:r>
              <w:rPr>
                <w:sz w:val="10"/>
              </w:rPr>
              <w:t>60%</w:t>
            </w:r>
          </w:p>
        </w:tc>
        <w:tc>
          <w:tcPr>
            <w:tcW w:w="746" w:type="dxa"/>
            <w:tcBorders>
              <w:top w:val="single" w:sz="4" w:space="0" w:color="000000"/>
              <w:left w:val="single" w:sz="4" w:space="0" w:color="000000"/>
            </w:tcBorders>
            <w:shd w:val="clear" w:color="auto" w:fill="62BD7A"/>
          </w:tcPr>
          <w:p>
            <w:pPr>
              <w:pStyle w:val="TableParagraph"/>
              <w:spacing w:before="3"/>
              <w:rPr>
                <w:sz w:val="11"/>
              </w:rPr>
            </w:pPr>
          </w:p>
          <w:p>
            <w:pPr>
              <w:pStyle w:val="TableParagraph"/>
              <w:ind w:left="206" w:right="195"/>
              <w:jc w:val="center"/>
              <w:rPr>
                <w:sz w:val="10"/>
              </w:rPr>
            </w:pPr>
            <w:r>
              <w:rPr>
                <w:sz w:val="10"/>
              </w:rPr>
              <w:t>100%</w:t>
            </w:r>
          </w:p>
        </w:tc>
        <w:tc>
          <w:tcPr>
            <w:tcW w:w="748" w:type="dxa"/>
            <w:tcBorders>
              <w:top w:val="single" w:sz="4" w:space="0" w:color="000000"/>
            </w:tcBorders>
            <w:shd w:val="clear" w:color="auto" w:fill="BDDB8F"/>
          </w:tcPr>
          <w:p>
            <w:pPr>
              <w:pStyle w:val="TableParagraph"/>
              <w:spacing w:before="3"/>
              <w:rPr>
                <w:sz w:val="11"/>
              </w:rPr>
            </w:pPr>
          </w:p>
          <w:p>
            <w:pPr>
              <w:pStyle w:val="TableParagraph"/>
              <w:ind w:left="212" w:right="192"/>
              <w:jc w:val="center"/>
              <w:rPr>
                <w:sz w:val="10"/>
              </w:rPr>
            </w:pPr>
            <w:r>
              <w:rPr>
                <w:sz w:val="10"/>
              </w:rPr>
              <w:t>50%</w:t>
            </w:r>
          </w:p>
        </w:tc>
        <w:tc>
          <w:tcPr>
            <w:tcW w:w="748" w:type="dxa"/>
            <w:tcBorders>
              <w:top w:val="single" w:sz="4" w:space="0" w:color="000000"/>
              <w:right w:val="single" w:sz="4" w:space="0" w:color="000000"/>
            </w:tcBorders>
            <w:shd w:val="clear" w:color="auto" w:fill="BDDB8F"/>
          </w:tcPr>
          <w:p>
            <w:pPr>
              <w:pStyle w:val="TableParagraph"/>
              <w:spacing w:before="3"/>
              <w:rPr>
                <w:sz w:val="11"/>
              </w:rPr>
            </w:pPr>
          </w:p>
          <w:p>
            <w:pPr>
              <w:pStyle w:val="TableParagraph"/>
              <w:ind w:left="265"/>
              <w:rPr>
                <w:sz w:val="10"/>
              </w:rPr>
            </w:pPr>
            <w:r>
              <w:rPr>
                <w:sz w:val="10"/>
              </w:rPr>
              <w:t>50%</w:t>
            </w:r>
          </w:p>
        </w:tc>
      </w:tr>
      <w:tr>
        <w:trPr>
          <w:trHeight w:val="398" w:hRule="atLeast"/>
        </w:trPr>
        <w:tc>
          <w:tcPr>
            <w:tcW w:w="2909" w:type="dxa"/>
            <w:tcBorders>
              <w:right w:val="single" w:sz="4" w:space="0" w:color="000000"/>
            </w:tcBorders>
          </w:tcPr>
          <w:p>
            <w:pPr>
              <w:pStyle w:val="TableParagraph"/>
              <w:spacing w:before="77"/>
              <w:ind w:left="112"/>
              <w:rPr>
                <w:sz w:val="10"/>
              </w:rPr>
            </w:pPr>
            <w:r>
              <w:rPr>
                <w:sz w:val="10"/>
              </w:rPr>
              <w:t>My organisation has </w:t>
            </w:r>
            <w:r>
              <w:rPr>
                <w:b/>
                <w:sz w:val="10"/>
              </w:rPr>
              <w:t>embedded the principles </w:t>
            </w:r>
            <w:r>
              <w:rPr>
                <w:sz w:val="10"/>
              </w:rPr>
              <w:t>of</w:t>
            </w:r>
          </w:p>
          <w:p>
            <w:pPr>
              <w:pStyle w:val="TableParagraph"/>
              <w:spacing w:before="1"/>
              <w:ind w:left="112"/>
              <w:rPr>
                <w:sz w:val="10"/>
              </w:rPr>
            </w:pPr>
            <w:r>
              <w:rPr>
                <w:i/>
                <w:sz w:val="10"/>
              </w:rPr>
              <w:t>Our Way </w:t>
            </w:r>
            <w:r>
              <w:rPr>
                <w:sz w:val="10"/>
              </w:rPr>
              <w:t>in our strategic planning processes</w:t>
            </w:r>
          </w:p>
        </w:tc>
        <w:tc>
          <w:tcPr>
            <w:tcW w:w="746" w:type="dxa"/>
            <w:tcBorders>
              <w:left w:val="single" w:sz="4" w:space="0" w:color="000000"/>
            </w:tcBorders>
            <w:shd w:val="clear" w:color="auto" w:fill="E0E695"/>
          </w:tcPr>
          <w:p>
            <w:pPr>
              <w:pStyle w:val="TableParagraph"/>
              <w:spacing w:before="3"/>
              <w:rPr>
                <w:sz w:val="11"/>
              </w:rPr>
            </w:pPr>
          </w:p>
          <w:p>
            <w:pPr>
              <w:pStyle w:val="TableParagraph"/>
              <w:ind w:right="245"/>
              <w:jc w:val="right"/>
              <w:rPr>
                <w:sz w:val="10"/>
              </w:rPr>
            </w:pPr>
            <w:r>
              <w:rPr>
                <w:sz w:val="10"/>
              </w:rPr>
              <w:t>31%</w:t>
            </w:r>
          </w:p>
        </w:tc>
        <w:tc>
          <w:tcPr>
            <w:tcW w:w="739" w:type="dxa"/>
            <w:tcBorders>
              <w:right w:val="single" w:sz="4" w:space="0" w:color="000000"/>
            </w:tcBorders>
            <w:shd w:val="clear" w:color="auto" w:fill="B4D78D"/>
          </w:tcPr>
          <w:p>
            <w:pPr>
              <w:pStyle w:val="TableParagraph"/>
              <w:spacing w:before="3"/>
              <w:rPr>
                <w:sz w:val="11"/>
              </w:rPr>
            </w:pPr>
          </w:p>
          <w:p>
            <w:pPr>
              <w:pStyle w:val="TableParagraph"/>
              <w:ind w:left="239" w:right="220"/>
              <w:jc w:val="center"/>
              <w:rPr>
                <w:sz w:val="10"/>
              </w:rPr>
            </w:pPr>
            <w:r>
              <w:rPr>
                <w:sz w:val="10"/>
              </w:rPr>
              <w:t>50%</w:t>
            </w:r>
          </w:p>
        </w:tc>
        <w:tc>
          <w:tcPr>
            <w:tcW w:w="756" w:type="dxa"/>
            <w:tcBorders>
              <w:left w:val="single" w:sz="4" w:space="0" w:color="000000"/>
            </w:tcBorders>
            <w:shd w:val="clear" w:color="auto" w:fill="FFEE9C"/>
          </w:tcPr>
          <w:p>
            <w:pPr>
              <w:pStyle w:val="TableParagraph"/>
              <w:spacing w:before="3"/>
              <w:rPr>
                <w:sz w:val="11"/>
              </w:rPr>
            </w:pPr>
          </w:p>
          <w:p>
            <w:pPr>
              <w:pStyle w:val="TableParagraph"/>
              <w:ind w:left="156" w:right="146"/>
              <w:jc w:val="center"/>
              <w:rPr>
                <w:sz w:val="10"/>
              </w:rPr>
            </w:pPr>
            <w:r>
              <w:rPr>
                <w:sz w:val="10"/>
              </w:rPr>
              <w:t>0%</w:t>
            </w:r>
          </w:p>
        </w:tc>
        <w:tc>
          <w:tcPr>
            <w:tcW w:w="746" w:type="dxa"/>
            <w:shd w:val="clear" w:color="auto" w:fill="A1D288"/>
          </w:tcPr>
          <w:p>
            <w:pPr>
              <w:pStyle w:val="TableParagraph"/>
              <w:spacing w:before="3"/>
              <w:rPr>
                <w:sz w:val="11"/>
              </w:rPr>
            </w:pPr>
          </w:p>
          <w:p>
            <w:pPr>
              <w:pStyle w:val="TableParagraph"/>
              <w:ind w:right="244"/>
              <w:jc w:val="right"/>
              <w:rPr>
                <w:sz w:val="10"/>
              </w:rPr>
            </w:pPr>
            <w:r>
              <w:rPr>
                <w:sz w:val="10"/>
              </w:rPr>
              <w:t>60%</w:t>
            </w:r>
          </w:p>
        </w:tc>
        <w:tc>
          <w:tcPr>
            <w:tcW w:w="748" w:type="dxa"/>
            <w:shd w:val="clear" w:color="auto" w:fill="62BD7A"/>
          </w:tcPr>
          <w:p>
            <w:pPr>
              <w:pStyle w:val="TableParagraph"/>
              <w:spacing w:before="3"/>
              <w:rPr>
                <w:sz w:val="11"/>
              </w:rPr>
            </w:pPr>
          </w:p>
          <w:p>
            <w:pPr>
              <w:pStyle w:val="TableParagraph"/>
              <w:ind w:left="212" w:right="196"/>
              <w:jc w:val="center"/>
              <w:rPr>
                <w:sz w:val="10"/>
              </w:rPr>
            </w:pPr>
            <w:r>
              <w:rPr>
                <w:sz w:val="10"/>
              </w:rPr>
              <w:t>100%</w:t>
            </w:r>
          </w:p>
        </w:tc>
        <w:tc>
          <w:tcPr>
            <w:tcW w:w="749" w:type="dxa"/>
            <w:tcBorders>
              <w:right w:val="single" w:sz="4" w:space="0" w:color="000000"/>
            </w:tcBorders>
            <w:shd w:val="clear" w:color="auto" w:fill="C1DC8F"/>
          </w:tcPr>
          <w:p>
            <w:pPr>
              <w:pStyle w:val="TableParagraph"/>
              <w:spacing w:before="3"/>
              <w:rPr>
                <w:sz w:val="11"/>
              </w:rPr>
            </w:pPr>
          </w:p>
          <w:p>
            <w:pPr>
              <w:pStyle w:val="TableParagraph"/>
              <w:ind w:left="246" w:right="223"/>
              <w:jc w:val="center"/>
              <w:rPr>
                <w:sz w:val="10"/>
              </w:rPr>
            </w:pPr>
            <w:r>
              <w:rPr>
                <w:sz w:val="10"/>
              </w:rPr>
              <w:t>40%</w:t>
            </w:r>
          </w:p>
        </w:tc>
        <w:tc>
          <w:tcPr>
            <w:tcW w:w="746" w:type="dxa"/>
            <w:tcBorders>
              <w:left w:val="single" w:sz="4" w:space="0" w:color="000000"/>
            </w:tcBorders>
            <w:shd w:val="clear" w:color="auto" w:fill="91CD85"/>
          </w:tcPr>
          <w:p>
            <w:pPr>
              <w:pStyle w:val="TableParagraph"/>
              <w:spacing w:before="3"/>
              <w:rPr>
                <w:sz w:val="11"/>
              </w:rPr>
            </w:pPr>
          </w:p>
          <w:p>
            <w:pPr>
              <w:pStyle w:val="TableParagraph"/>
              <w:ind w:left="206" w:right="194"/>
              <w:jc w:val="center"/>
              <w:rPr>
                <w:sz w:val="10"/>
              </w:rPr>
            </w:pPr>
            <w:r>
              <w:rPr>
                <w:sz w:val="10"/>
              </w:rPr>
              <w:t>75%</w:t>
            </w:r>
          </w:p>
        </w:tc>
        <w:tc>
          <w:tcPr>
            <w:tcW w:w="748" w:type="dxa"/>
            <w:shd w:val="clear" w:color="auto" w:fill="BDDB8F"/>
          </w:tcPr>
          <w:p>
            <w:pPr>
              <w:pStyle w:val="TableParagraph"/>
              <w:spacing w:before="3"/>
              <w:rPr>
                <w:sz w:val="11"/>
              </w:rPr>
            </w:pPr>
          </w:p>
          <w:p>
            <w:pPr>
              <w:pStyle w:val="TableParagraph"/>
              <w:ind w:left="212" w:right="192"/>
              <w:jc w:val="center"/>
              <w:rPr>
                <w:sz w:val="10"/>
              </w:rPr>
            </w:pPr>
            <w:r>
              <w:rPr>
                <w:sz w:val="10"/>
              </w:rPr>
              <w:t>50%</w:t>
            </w:r>
          </w:p>
        </w:tc>
        <w:tc>
          <w:tcPr>
            <w:tcW w:w="748" w:type="dxa"/>
            <w:tcBorders>
              <w:right w:val="single" w:sz="4" w:space="0" w:color="000000"/>
            </w:tcBorders>
            <w:shd w:val="clear" w:color="auto" w:fill="D7E293"/>
          </w:tcPr>
          <w:p>
            <w:pPr>
              <w:pStyle w:val="TableParagraph"/>
              <w:spacing w:before="3"/>
              <w:rPr>
                <w:sz w:val="11"/>
              </w:rPr>
            </w:pPr>
          </w:p>
          <w:p>
            <w:pPr>
              <w:pStyle w:val="TableParagraph"/>
              <w:ind w:left="265"/>
              <w:rPr>
                <w:sz w:val="10"/>
              </w:rPr>
            </w:pPr>
            <w:r>
              <w:rPr>
                <w:sz w:val="10"/>
              </w:rPr>
              <w:t>36%</w:t>
            </w:r>
          </w:p>
        </w:tc>
      </w:tr>
      <w:tr>
        <w:trPr>
          <w:trHeight w:val="395" w:hRule="atLeast"/>
        </w:trPr>
        <w:tc>
          <w:tcPr>
            <w:tcW w:w="2909" w:type="dxa"/>
            <w:tcBorders>
              <w:right w:val="single" w:sz="4" w:space="0" w:color="000000"/>
            </w:tcBorders>
          </w:tcPr>
          <w:p>
            <w:pPr>
              <w:pStyle w:val="TableParagraph"/>
              <w:spacing w:before="74"/>
              <w:ind w:left="112" w:right="160"/>
              <w:rPr>
                <w:sz w:val="10"/>
              </w:rPr>
            </w:pPr>
            <w:r>
              <w:rPr>
                <w:sz w:val="10"/>
              </w:rPr>
              <w:t>My organisation has been </w:t>
            </w:r>
            <w:r>
              <w:rPr>
                <w:b/>
                <w:sz w:val="10"/>
              </w:rPr>
              <w:t>actively measuring progress </w:t>
            </w:r>
            <w:r>
              <w:rPr>
                <w:sz w:val="10"/>
              </w:rPr>
              <w:t>towards the intended </w:t>
            </w:r>
            <w:r>
              <w:rPr>
                <w:i/>
                <w:sz w:val="10"/>
              </w:rPr>
              <w:t>Our Way </w:t>
            </w:r>
            <w:r>
              <w:rPr>
                <w:sz w:val="10"/>
              </w:rPr>
              <w:t>objectives</w:t>
            </w:r>
          </w:p>
        </w:tc>
        <w:tc>
          <w:tcPr>
            <w:tcW w:w="746" w:type="dxa"/>
            <w:tcBorders>
              <w:left w:val="single" w:sz="4" w:space="0" w:color="000000"/>
            </w:tcBorders>
            <w:shd w:val="clear" w:color="auto" w:fill="E0E695"/>
          </w:tcPr>
          <w:p>
            <w:pPr>
              <w:pStyle w:val="TableParagraph"/>
              <w:spacing w:before="3"/>
              <w:rPr>
                <w:sz w:val="11"/>
              </w:rPr>
            </w:pPr>
          </w:p>
          <w:p>
            <w:pPr>
              <w:pStyle w:val="TableParagraph"/>
              <w:ind w:right="245"/>
              <w:jc w:val="right"/>
              <w:rPr>
                <w:sz w:val="10"/>
              </w:rPr>
            </w:pPr>
            <w:r>
              <w:rPr>
                <w:sz w:val="10"/>
              </w:rPr>
              <w:t>31%</w:t>
            </w:r>
          </w:p>
        </w:tc>
        <w:tc>
          <w:tcPr>
            <w:tcW w:w="739" w:type="dxa"/>
            <w:tcBorders>
              <w:right w:val="single" w:sz="4" w:space="0" w:color="000000"/>
            </w:tcBorders>
            <w:shd w:val="clear" w:color="auto" w:fill="B4D78D"/>
          </w:tcPr>
          <w:p>
            <w:pPr>
              <w:pStyle w:val="TableParagraph"/>
              <w:spacing w:before="3"/>
              <w:rPr>
                <w:sz w:val="11"/>
              </w:rPr>
            </w:pPr>
          </w:p>
          <w:p>
            <w:pPr>
              <w:pStyle w:val="TableParagraph"/>
              <w:ind w:left="239" w:right="220"/>
              <w:jc w:val="center"/>
              <w:rPr>
                <w:sz w:val="10"/>
              </w:rPr>
            </w:pPr>
            <w:r>
              <w:rPr>
                <w:sz w:val="10"/>
              </w:rPr>
              <w:t>50%</w:t>
            </w:r>
          </w:p>
        </w:tc>
        <w:tc>
          <w:tcPr>
            <w:tcW w:w="756" w:type="dxa"/>
            <w:tcBorders>
              <w:left w:val="single" w:sz="4" w:space="0" w:color="000000"/>
            </w:tcBorders>
            <w:shd w:val="clear" w:color="auto" w:fill="FFEE9C"/>
          </w:tcPr>
          <w:p>
            <w:pPr>
              <w:pStyle w:val="TableParagraph"/>
              <w:spacing w:before="3"/>
              <w:rPr>
                <w:sz w:val="11"/>
              </w:rPr>
            </w:pPr>
          </w:p>
          <w:p>
            <w:pPr>
              <w:pStyle w:val="TableParagraph"/>
              <w:ind w:left="156" w:right="146"/>
              <w:jc w:val="center"/>
              <w:rPr>
                <w:sz w:val="10"/>
              </w:rPr>
            </w:pPr>
            <w:r>
              <w:rPr>
                <w:sz w:val="10"/>
              </w:rPr>
              <w:t>0%</w:t>
            </w:r>
          </w:p>
        </w:tc>
        <w:tc>
          <w:tcPr>
            <w:tcW w:w="746" w:type="dxa"/>
            <w:shd w:val="clear" w:color="auto" w:fill="A1D288"/>
          </w:tcPr>
          <w:p>
            <w:pPr>
              <w:pStyle w:val="TableParagraph"/>
              <w:spacing w:before="3"/>
              <w:rPr>
                <w:sz w:val="11"/>
              </w:rPr>
            </w:pPr>
          </w:p>
          <w:p>
            <w:pPr>
              <w:pStyle w:val="TableParagraph"/>
              <w:ind w:right="244"/>
              <w:jc w:val="right"/>
              <w:rPr>
                <w:sz w:val="10"/>
              </w:rPr>
            </w:pPr>
            <w:r>
              <w:rPr>
                <w:sz w:val="10"/>
              </w:rPr>
              <w:t>60%</w:t>
            </w:r>
          </w:p>
        </w:tc>
        <w:tc>
          <w:tcPr>
            <w:tcW w:w="748" w:type="dxa"/>
            <w:shd w:val="clear" w:color="auto" w:fill="B0D68B"/>
          </w:tcPr>
          <w:p>
            <w:pPr>
              <w:pStyle w:val="TableParagraph"/>
              <w:spacing w:before="3"/>
              <w:rPr>
                <w:sz w:val="11"/>
              </w:rPr>
            </w:pPr>
          </w:p>
          <w:p>
            <w:pPr>
              <w:pStyle w:val="TableParagraph"/>
              <w:ind w:left="212" w:right="195"/>
              <w:jc w:val="center"/>
              <w:rPr>
                <w:sz w:val="10"/>
              </w:rPr>
            </w:pPr>
            <w:r>
              <w:rPr>
                <w:sz w:val="10"/>
              </w:rPr>
              <w:t>50%</w:t>
            </w:r>
          </w:p>
        </w:tc>
        <w:tc>
          <w:tcPr>
            <w:tcW w:w="749" w:type="dxa"/>
            <w:tcBorders>
              <w:right w:val="single" w:sz="4" w:space="0" w:color="000000"/>
            </w:tcBorders>
            <w:shd w:val="clear" w:color="auto" w:fill="A1D288"/>
          </w:tcPr>
          <w:p>
            <w:pPr>
              <w:pStyle w:val="TableParagraph"/>
              <w:spacing w:before="3"/>
              <w:rPr>
                <w:sz w:val="11"/>
              </w:rPr>
            </w:pPr>
          </w:p>
          <w:p>
            <w:pPr>
              <w:pStyle w:val="TableParagraph"/>
              <w:ind w:left="246" w:right="223"/>
              <w:jc w:val="center"/>
              <w:rPr>
                <w:sz w:val="10"/>
              </w:rPr>
            </w:pPr>
            <w:r>
              <w:rPr>
                <w:sz w:val="10"/>
              </w:rPr>
              <w:t>60%</w:t>
            </w:r>
          </w:p>
        </w:tc>
        <w:tc>
          <w:tcPr>
            <w:tcW w:w="746" w:type="dxa"/>
            <w:tcBorders>
              <w:left w:val="single" w:sz="4" w:space="0" w:color="000000"/>
            </w:tcBorders>
            <w:shd w:val="clear" w:color="auto" w:fill="62BD7A"/>
          </w:tcPr>
          <w:p>
            <w:pPr>
              <w:pStyle w:val="TableParagraph"/>
              <w:spacing w:before="3"/>
              <w:rPr>
                <w:sz w:val="11"/>
              </w:rPr>
            </w:pPr>
          </w:p>
          <w:p>
            <w:pPr>
              <w:pStyle w:val="TableParagraph"/>
              <w:ind w:left="206" w:right="195"/>
              <w:jc w:val="center"/>
              <w:rPr>
                <w:sz w:val="10"/>
              </w:rPr>
            </w:pPr>
            <w:r>
              <w:rPr>
                <w:sz w:val="10"/>
              </w:rPr>
              <w:t>100%</w:t>
            </w:r>
          </w:p>
        </w:tc>
        <w:tc>
          <w:tcPr>
            <w:tcW w:w="748" w:type="dxa"/>
            <w:shd w:val="clear" w:color="auto" w:fill="BDDB8F"/>
          </w:tcPr>
          <w:p>
            <w:pPr>
              <w:pStyle w:val="TableParagraph"/>
              <w:spacing w:before="3"/>
              <w:rPr>
                <w:sz w:val="11"/>
              </w:rPr>
            </w:pPr>
          </w:p>
          <w:p>
            <w:pPr>
              <w:pStyle w:val="TableParagraph"/>
              <w:ind w:left="212" w:right="192"/>
              <w:jc w:val="center"/>
              <w:rPr>
                <w:sz w:val="10"/>
              </w:rPr>
            </w:pPr>
            <w:r>
              <w:rPr>
                <w:sz w:val="10"/>
              </w:rPr>
              <w:t>50%</w:t>
            </w:r>
          </w:p>
        </w:tc>
        <w:tc>
          <w:tcPr>
            <w:tcW w:w="748" w:type="dxa"/>
            <w:tcBorders>
              <w:right w:val="single" w:sz="4" w:space="0" w:color="000000"/>
            </w:tcBorders>
            <w:shd w:val="clear" w:color="auto" w:fill="E4E796"/>
          </w:tcPr>
          <w:p>
            <w:pPr>
              <w:pStyle w:val="TableParagraph"/>
              <w:spacing w:before="3"/>
              <w:rPr>
                <w:sz w:val="11"/>
              </w:rPr>
            </w:pPr>
          </w:p>
          <w:p>
            <w:pPr>
              <w:pStyle w:val="TableParagraph"/>
              <w:ind w:left="265"/>
              <w:rPr>
                <w:sz w:val="10"/>
              </w:rPr>
            </w:pPr>
            <w:r>
              <w:rPr>
                <w:sz w:val="10"/>
              </w:rPr>
              <w:t>29%</w:t>
            </w:r>
          </w:p>
        </w:tc>
      </w:tr>
      <w:tr>
        <w:trPr>
          <w:trHeight w:val="395" w:hRule="atLeast"/>
        </w:trPr>
        <w:tc>
          <w:tcPr>
            <w:tcW w:w="2909" w:type="dxa"/>
            <w:tcBorders>
              <w:right w:val="single" w:sz="4" w:space="0" w:color="000000"/>
            </w:tcBorders>
          </w:tcPr>
          <w:p>
            <w:pPr>
              <w:pStyle w:val="TableParagraph"/>
              <w:spacing w:before="77"/>
              <w:ind w:left="112" w:right="132"/>
              <w:rPr>
                <w:i/>
                <w:sz w:val="10"/>
              </w:rPr>
            </w:pPr>
            <w:r>
              <w:rPr>
                <w:sz w:val="10"/>
              </w:rPr>
              <w:t>I have seen </w:t>
            </w:r>
            <w:r>
              <w:rPr>
                <w:b/>
                <w:sz w:val="10"/>
              </w:rPr>
              <w:t>examples of decision making within my organisation change</w:t>
            </w:r>
            <w:r>
              <w:rPr>
                <w:sz w:val="10"/>
              </w:rPr>
              <w:t>, aligned with </w:t>
            </w:r>
            <w:r>
              <w:rPr>
                <w:i/>
                <w:sz w:val="10"/>
              </w:rPr>
              <w:t>Our Way</w:t>
            </w:r>
          </w:p>
        </w:tc>
        <w:tc>
          <w:tcPr>
            <w:tcW w:w="746" w:type="dxa"/>
            <w:tcBorders>
              <w:left w:val="single" w:sz="4" w:space="0" w:color="000000"/>
            </w:tcBorders>
            <w:shd w:val="clear" w:color="auto" w:fill="E0E695"/>
          </w:tcPr>
          <w:p>
            <w:pPr>
              <w:pStyle w:val="TableParagraph"/>
              <w:spacing w:before="3"/>
              <w:rPr>
                <w:sz w:val="11"/>
              </w:rPr>
            </w:pPr>
          </w:p>
          <w:p>
            <w:pPr>
              <w:pStyle w:val="TableParagraph"/>
              <w:ind w:right="245"/>
              <w:jc w:val="right"/>
              <w:rPr>
                <w:sz w:val="10"/>
              </w:rPr>
            </w:pPr>
            <w:r>
              <w:rPr>
                <w:sz w:val="10"/>
              </w:rPr>
              <w:t>31%</w:t>
            </w:r>
          </w:p>
        </w:tc>
        <w:tc>
          <w:tcPr>
            <w:tcW w:w="739" w:type="dxa"/>
            <w:tcBorders>
              <w:right w:val="single" w:sz="4" w:space="0" w:color="000000"/>
            </w:tcBorders>
            <w:shd w:val="clear" w:color="auto" w:fill="8BCA84"/>
          </w:tcPr>
          <w:p>
            <w:pPr>
              <w:pStyle w:val="TableParagraph"/>
              <w:spacing w:before="3"/>
              <w:rPr>
                <w:sz w:val="11"/>
              </w:rPr>
            </w:pPr>
          </w:p>
          <w:p>
            <w:pPr>
              <w:pStyle w:val="TableParagraph"/>
              <w:ind w:left="239" w:right="220"/>
              <w:jc w:val="center"/>
              <w:rPr>
                <w:sz w:val="10"/>
              </w:rPr>
            </w:pPr>
            <w:r>
              <w:rPr>
                <w:sz w:val="10"/>
              </w:rPr>
              <w:t>67%</w:t>
            </w:r>
          </w:p>
        </w:tc>
        <w:tc>
          <w:tcPr>
            <w:tcW w:w="756" w:type="dxa"/>
            <w:tcBorders>
              <w:left w:val="single" w:sz="4" w:space="0" w:color="000000"/>
            </w:tcBorders>
            <w:shd w:val="clear" w:color="auto" w:fill="E4E796"/>
          </w:tcPr>
          <w:p>
            <w:pPr>
              <w:pStyle w:val="TableParagraph"/>
              <w:spacing w:before="3"/>
              <w:rPr>
                <w:sz w:val="11"/>
              </w:rPr>
            </w:pPr>
          </w:p>
          <w:p>
            <w:pPr>
              <w:pStyle w:val="TableParagraph"/>
              <w:ind w:left="155" w:right="148"/>
              <w:jc w:val="center"/>
              <w:rPr>
                <w:sz w:val="10"/>
              </w:rPr>
            </w:pPr>
            <w:r>
              <w:rPr>
                <w:sz w:val="10"/>
              </w:rPr>
              <w:t>17%</w:t>
            </w:r>
          </w:p>
        </w:tc>
        <w:tc>
          <w:tcPr>
            <w:tcW w:w="746" w:type="dxa"/>
            <w:shd w:val="clear" w:color="auto" w:fill="A1D288"/>
          </w:tcPr>
          <w:p>
            <w:pPr>
              <w:pStyle w:val="TableParagraph"/>
              <w:spacing w:before="3"/>
              <w:rPr>
                <w:sz w:val="11"/>
              </w:rPr>
            </w:pPr>
          </w:p>
          <w:p>
            <w:pPr>
              <w:pStyle w:val="TableParagraph"/>
              <w:ind w:right="244"/>
              <w:jc w:val="right"/>
              <w:rPr>
                <w:sz w:val="10"/>
              </w:rPr>
            </w:pPr>
            <w:r>
              <w:rPr>
                <w:sz w:val="10"/>
              </w:rPr>
              <w:t>60%</w:t>
            </w:r>
          </w:p>
        </w:tc>
        <w:tc>
          <w:tcPr>
            <w:tcW w:w="748" w:type="dxa"/>
            <w:shd w:val="clear" w:color="auto" w:fill="62BD7A"/>
          </w:tcPr>
          <w:p>
            <w:pPr>
              <w:pStyle w:val="TableParagraph"/>
              <w:spacing w:before="3"/>
              <w:rPr>
                <w:sz w:val="11"/>
              </w:rPr>
            </w:pPr>
          </w:p>
          <w:p>
            <w:pPr>
              <w:pStyle w:val="TableParagraph"/>
              <w:ind w:left="212" w:right="196"/>
              <w:jc w:val="center"/>
              <w:rPr>
                <w:sz w:val="10"/>
              </w:rPr>
            </w:pPr>
            <w:r>
              <w:rPr>
                <w:sz w:val="10"/>
              </w:rPr>
              <w:t>100%</w:t>
            </w:r>
          </w:p>
        </w:tc>
        <w:tc>
          <w:tcPr>
            <w:tcW w:w="749" w:type="dxa"/>
            <w:tcBorders>
              <w:right w:val="single" w:sz="4" w:space="0" w:color="000000"/>
            </w:tcBorders>
            <w:shd w:val="clear" w:color="auto" w:fill="C1DC8F"/>
          </w:tcPr>
          <w:p>
            <w:pPr>
              <w:pStyle w:val="TableParagraph"/>
              <w:spacing w:before="3"/>
              <w:rPr>
                <w:sz w:val="11"/>
              </w:rPr>
            </w:pPr>
          </w:p>
          <w:p>
            <w:pPr>
              <w:pStyle w:val="TableParagraph"/>
              <w:ind w:left="246" w:right="223"/>
              <w:jc w:val="center"/>
              <w:rPr>
                <w:sz w:val="10"/>
              </w:rPr>
            </w:pPr>
            <w:r>
              <w:rPr>
                <w:sz w:val="10"/>
              </w:rPr>
              <w:t>40%</w:t>
            </w:r>
          </w:p>
        </w:tc>
        <w:tc>
          <w:tcPr>
            <w:tcW w:w="746" w:type="dxa"/>
            <w:tcBorders>
              <w:left w:val="single" w:sz="4" w:space="0" w:color="000000"/>
            </w:tcBorders>
            <w:shd w:val="clear" w:color="auto" w:fill="91CD85"/>
          </w:tcPr>
          <w:p>
            <w:pPr>
              <w:pStyle w:val="TableParagraph"/>
              <w:spacing w:before="3"/>
              <w:rPr>
                <w:sz w:val="11"/>
              </w:rPr>
            </w:pPr>
          </w:p>
          <w:p>
            <w:pPr>
              <w:pStyle w:val="TableParagraph"/>
              <w:ind w:left="206" w:right="194"/>
              <w:jc w:val="center"/>
              <w:rPr>
                <w:sz w:val="10"/>
              </w:rPr>
            </w:pPr>
            <w:r>
              <w:rPr>
                <w:sz w:val="10"/>
              </w:rPr>
              <w:t>75%</w:t>
            </w:r>
          </w:p>
        </w:tc>
        <w:tc>
          <w:tcPr>
            <w:tcW w:w="748" w:type="dxa"/>
            <w:shd w:val="clear" w:color="auto" w:fill="CADF91"/>
          </w:tcPr>
          <w:p>
            <w:pPr>
              <w:pStyle w:val="TableParagraph"/>
              <w:spacing w:before="3"/>
              <w:rPr>
                <w:sz w:val="11"/>
              </w:rPr>
            </w:pPr>
          </w:p>
          <w:p>
            <w:pPr>
              <w:pStyle w:val="TableParagraph"/>
              <w:ind w:left="212" w:right="192"/>
              <w:jc w:val="center"/>
              <w:rPr>
                <w:sz w:val="10"/>
              </w:rPr>
            </w:pPr>
            <w:r>
              <w:rPr>
                <w:sz w:val="10"/>
              </w:rPr>
              <w:t>50%</w:t>
            </w:r>
          </w:p>
        </w:tc>
        <w:tc>
          <w:tcPr>
            <w:tcW w:w="748" w:type="dxa"/>
            <w:tcBorders>
              <w:right w:val="single" w:sz="4" w:space="0" w:color="000000"/>
            </w:tcBorders>
            <w:shd w:val="clear" w:color="auto" w:fill="CADF91"/>
          </w:tcPr>
          <w:p>
            <w:pPr>
              <w:pStyle w:val="TableParagraph"/>
              <w:spacing w:before="3"/>
              <w:rPr>
                <w:sz w:val="11"/>
              </w:rPr>
            </w:pPr>
          </w:p>
          <w:p>
            <w:pPr>
              <w:pStyle w:val="TableParagraph"/>
              <w:ind w:left="265"/>
              <w:rPr>
                <w:sz w:val="10"/>
              </w:rPr>
            </w:pPr>
            <w:r>
              <w:rPr>
                <w:sz w:val="10"/>
              </w:rPr>
              <w:t>43%</w:t>
            </w:r>
          </w:p>
        </w:tc>
      </w:tr>
      <w:tr>
        <w:trPr>
          <w:trHeight w:val="398" w:hRule="atLeast"/>
        </w:trPr>
        <w:tc>
          <w:tcPr>
            <w:tcW w:w="2909" w:type="dxa"/>
            <w:tcBorders>
              <w:right w:val="single" w:sz="4" w:space="0" w:color="000000"/>
            </w:tcBorders>
          </w:tcPr>
          <w:p>
            <w:pPr>
              <w:pStyle w:val="TableParagraph"/>
              <w:spacing w:before="17"/>
              <w:ind w:left="112"/>
              <w:rPr>
                <w:sz w:val="10"/>
              </w:rPr>
            </w:pPr>
            <w:r>
              <w:rPr>
                <w:sz w:val="10"/>
              </w:rPr>
              <w:t>I have seen examples of where </w:t>
            </w:r>
            <w:r>
              <w:rPr>
                <w:i/>
                <w:sz w:val="10"/>
              </w:rPr>
              <w:t>Our Way </w:t>
            </w:r>
            <w:r>
              <w:rPr>
                <w:sz w:val="10"/>
              </w:rPr>
              <w:t>and the</w:t>
            </w:r>
          </w:p>
          <w:p>
            <w:pPr>
              <w:pStyle w:val="TableParagraph"/>
              <w:spacing w:line="120" w:lineRule="exact" w:before="5"/>
              <w:ind w:left="112" w:right="565"/>
              <w:rPr>
                <w:sz w:val="10"/>
              </w:rPr>
            </w:pPr>
            <w:r>
              <w:rPr>
                <w:sz w:val="10"/>
              </w:rPr>
              <w:t>Changing Tracks have been used to </w:t>
            </w:r>
            <w:r>
              <w:rPr>
                <w:b/>
                <w:sz w:val="10"/>
              </w:rPr>
              <w:t>inform decision making </w:t>
            </w:r>
            <w:r>
              <w:rPr>
                <w:sz w:val="10"/>
              </w:rPr>
              <w:t>within my organisation</w:t>
            </w:r>
          </w:p>
        </w:tc>
        <w:tc>
          <w:tcPr>
            <w:tcW w:w="746" w:type="dxa"/>
            <w:tcBorders>
              <w:left w:val="single" w:sz="4" w:space="0" w:color="000000"/>
            </w:tcBorders>
            <w:shd w:val="clear" w:color="auto" w:fill="E0E695"/>
          </w:tcPr>
          <w:p>
            <w:pPr>
              <w:pStyle w:val="TableParagraph"/>
              <w:spacing w:before="5"/>
              <w:rPr>
                <w:sz w:val="11"/>
              </w:rPr>
            </w:pPr>
          </w:p>
          <w:p>
            <w:pPr>
              <w:pStyle w:val="TableParagraph"/>
              <w:ind w:right="245"/>
              <w:jc w:val="right"/>
              <w:rPr>
                <w:sz w:val="10"/>
              </w:rPr>
            </w:pPr>
            <w:r>
              <w:rPr>
                <w:sz w:val="10"/>
              </w:rPr>
              <w:t>31%</w:t>
            </w:r>
          </w:p>
        </w:tc>
        <w:tc>
          <w:tcPr>
            <w:tcW w:w="739" w:type="dxa"/>
            <w:tcBorders>
              <w:right w:val="single" w:sz="4" w:space="0" w:color="000000"/>
            </w:tcBorders>
            <w:shd w:val="clear" w:color="auto" w:fill="B4D78D"/>
          </w:tcPr>
          <w:p>
            <w:pPr>
              <w:pStyle w:val="TableParagraph"/>
              <w:spacing w:before="5"/>
              <w:rPr>
                <w:sz w:val="11"/>
              </w:rPr>
            </w:pPr>
          </w:p>
          <w:p>
            <w:pPr>
              <w:pStyle w:val="TableParagraph"/>
              <w:ind w:left="239" w:right="220"/>
              <w:jc w:val="center"/>
              <w:rPr>
                <w:sz w:val="10"/>
              </w:rPr>
            </w:pPr>
            <w:r>
              <w:rPr>
                <w:sz w:val="10"/>
              </w:rPr>
              <w:t>50%</w:t>
            </w:r>
          </w:p>
        </w:tc>
        <w:tc>
          <w:tcPr>
            <w:tcW w:w="756" w:type="dxa"/>
            <w:tcBorders>
              <w:left w:val="single" w:sz="4" w:space="0" w:color="000000"/>
            </w:tcBorders>
            <w:shd w:val="clear" w:color="auto" w:fill="FFEE9C"/>
          </w:tcPr>
          <w:p>
            <w:pPr>
              <w:pStyle w:val="TableParagraph"/>
              <w:spacing w:before="5"/>
              <w:rPr>
                <w:sz w:val="11"/>
              </w:rPr>
            </w:pPr>
          </w:p>
          <w:p>
            <w:pPr>
              <w:pStyle w:val="TableParagraph"/>
              <w:ind w:left="156" w:right="146"/>
              <w:jc w:val="center"/>
              <w:rPr>
                <w:sz w:val="10"/>
              </w:rPr>
            </w:pPr>
            <w:r>
              <w:rPr>
                <w:sz w:val="10"/>
              </w:rPr>
              <w:t>0%</w:t>
            </w:r>
          </w:p>
        </w:tc>
        <w:tc>
          <w:tcPr>
            <w:tcW w:w="746" w:type="dxa"/>
            <w:shd w:val="clear" w:color="auto" w:fill="A1D288"/>
          </w:tcPr>
          <w:p>
            <w:pPr>
              <w:pStyle w:val="TableParagraph"/>
              <w:spacing w:before="5"/>
              <w:rPr>
                <w:sz w:val="11"/>
              </w:rPr>
            </w:pPr>
          </w:p>
          <w:p>
            <w:pPr>
              <w:pStyle w:val="TableParagraph"/>
              <w:ind w:right="244"/>
              <w:jc w:val="right"/>
              <w:rPr>
                <w:sz w:val="10"/>
              </w:rPr>
            </w:pPr>
            <w:r>
              <w:rPr>
                <w:sz w:val="10"/>
              </w:rPr>
              <w:t>60%</w:t>
            </w:r>
          </w:p>
        </w:tc>
        <w:tc>
          <w:tcPr>
            <w:tcW w:w="748" w:type="dxa"/>
            <w:shd w:val="clear" w:color="auto" w:fill="B0D68B"/>
          </w:tcPr>
          <w:p>
            <w:pPr>
              <w:pStyle w:val="TableParagraph"/>
              <w:spacing w:before="5"/>
              <w:rPr>
                <w:sz w:val="11"/>
              </w:rPr>
            </w:pPr>
          </w:p>
          <w:p>
            <w:pPr>
              <w:pStyle w:val="TableParagraph"/>
              <w:ind w:left="212" w:right="195"/>
              <w:jc w:val="center"/>
              <w:rPr>
                <w:sz w:val="10"/>
              </w:rPr>
            </w:pPr>
            <w:r>
              <w:rPr>
                <w:sz w:val="10"/>
              </w:rPr>
              <w:t>50%</w:t>
            </w:r>
          </w:p>
        </w:tc>
        <w:tc>
          <w:tcPr>
            <w:tcW w:w="749" w:type="dxa"/>
            <w:tcBorders>
              <w:right w:val="single" w:sz="4" w:space="0" w:color="000000"/>
            </w:tcBorders>
            <w:shd w:val="clear" w:color="auto" w:fill="A1D288"/>
          </w:tcPr>
          <w:p>
            <w:pPr>
              <w:pStyle w:val="TableParagraph"/>
              <w:spacing w:before="5"/>
              <w:rPr>
                <w:sz w:val="11"/>
              </w:rPr>
            </w:pPr>
          </w:p>
          <w:p>
            <w:pPr>
              <w:pStyle w:val="TableParagraph"/>
              <w:ind w:left="246" w:right="223"/>
              <w:jc w:val="center"/>
              <w:rPr>
                <w:sz w:val="10"/>
              </w:rPr>
            </w:pPr>
            <w:r>
              <w:rPr>
                <w:sz w:val="10"/>
              </w:rPr>
              <w:t>60%</w:t>
            </w:r>
          </w:p>
        </w:tc>
        <w:tc>
          <w:tcPr>
            <w:tcW w:w="746" w:type="dxa"/>
            <w:tcBorders>
              <w:left w:val="single" w:sz="4" w:space="0" w:color="000000"/>
            </w:tcBorders>
            <w:shd w:val="clear" w:color="auto" w:fill="62BD7A"/>
          </w:tcPr>
          <w:p>
            <w:pPr>
              <w:pStyle w:val="TableParagraph"/>
              <w:spacing w:before="5"/>
              <w:rPr>
                <w:sz w:val="11"/>
              </w:rPr>
            </w:pPr>
          </w:p>
          <w:p>
            <w:pPr>
              <w:pStyle w:val="TableParagraph"/>
              <w:ind w:left="206" w:right="195"/>
              <w:jc w:val="center"/>
              <w:rPr>
                <w:sz w:val="10"/>
              </w:rPr>
            </w:pPr>
            <w:r>
              <w:rPr>
                <w:sz w:val="10"/>
              </w:rPr>
              <w:t>100%</w:t>
            </w:r>
          </w:p>
        </w:tc>
        <w:tc>
          <w:tcPr>
            <w:tcW w:w="748" w:type="dxa"/>
            <w:shd w:val="clear" w:color="auto" w:fill="BDDB8F"/>
          </w:tcPr>
          <w:p>
            <w:pPr>
              <w:pStyle w:val="TableParagraph"/>
              <w:spacing w:before="5"/>
              <w:rPr>
                <w:sz w:val="11"/>
              </w:rPr>
            </w:pPr>
          </w:p>
          <w:p>
            <w:pPr>
              <w:pStyle w:val="TableParagraph"/>
              <w:ind w:left="212" w:right="192"/>
              <w:jc w:val="center"/>
              <w:rPr>
                <w:sz w:val="10"/>
              </w:rPr>
            </w:pPr>
            <w:r>
              <w:rPr>
                <w:sz w:val="10"/>
              </w:rPr>
              <w:t>50%</w:t>
            </w:r>
          </w:p>
        </w:tc>
        <w:tc>
          <w:tcPr>
            <w:tcW w:w="748" w:type="dxa"/>
            <w:tcBorders>
              <w:right w:val="single" w:sz="4" w:space="0" w:color="000000"/>
            </w:tcBorders>
            <w:shd w:val="clear" w:color="auto" w:fill="F1EB9A"/>
          </w:tcPr>
          <w:p>
            <w:pPr>
              <w:pStyle w:val="TableParagraph"/>
              <w:spacing w:before="5"/>
              <w:rPr>
                <w:sz w:val="11"/>
              </w:rPr>
            </w:pPr>
          </w:p>
          <w:p>
            <w:pPr>
              <w:pStyle w:val="TableParagraph"/>
              <w:ind w:left="265"/>
              <w:rPr>
                <w:sz w:val="10"/>
              </w:rPr>
            </w:pPr>
            <w:r>
              <w:rPr>
                <w:sz w:val="10"/>
              </w:rPr>
              <w:t>21%</w:t>
            </w:r>
          </w:p>
        </w:tc>
      </w:tr>
      <w:tr>
        <w:trPr>
          <w:trHeight w:val="395" w:hRule="atLeast"/>
        </w:trPr>
        <w:tc>
          <w:tcPr>
            <w:tcW w:w="2909" w:type="dxa"/>
            <w:tcBorders>
              <w:right w:val="single" w:sz="4" w:space="0" w:color="000000"/>
            </w:tcBorders>
          </w:tcPr>
          <w:p>
            <w:pPr>
              <w:pStyle w:val="TableParagraph"/>
              <w:spacing w:line="120" w:lineRule="atLeast" w:before="14"/>
              <w:ind w:left="112" w:right="239"/>
              <w:rPr>
                <w:sz w:val="10"/>
              </w:rPr>
            </w:pPr>
            <w:r>
              <w:rPr>
                <w:sz w:val="10"/>
              </w:rPr>
              <w:t>My organisation has implemented mechanisms for young people and families to </w:t>
            </w:r>
            <w:r>
              <w:rPr>
                <w:b/>
                <w:sz w:val="10"/>
              </w:rPr>
              <w:t>have a say/own decisions </w:t>
            </w:r>
            <w:r>
              <w:rPr>
                <w:sz w:val="10"/>
              </w:rPr>
              <w:t>that affect them</w:t>
            </w:r>
          </w:p>
        </w:tc>
        <w:tc>
          <w:tcPr>
            <w:tcW w:w="746" w:type="dxa"/>
            <w:tcBorders>
              <w:left w:val="single" w:sz="4" w:space="0" w:color="000000"/>
            </w:tcBorders>
            <w:shd w:val="clear" w:color="auto" w:fill="C3DD90"/>
          </w:tcPr>
          <w:p>
            <w:pPr>
              <w:pStyle w:val="TableParagraph"/>
              <w:spacing w:before="3"/>
              <w:rPr>
                <w:sz w:val="11"/>
              </w:rPr>
            </w:pPr>
          </w:p>
          <w:p>
            <w:pPr>
              <w:pStyle w:val="TableParagraph"/>
              <w:ind w:right="245"/>
              <w:jc w:val="right"/>
              <w:rPr>
                <w:sz w:val="10"/>
              </w:rPr>
            </w:pPr>
            <w:r>
              <w:rPr>
                <w:sz w:val="10"/>
              </w:rPr>
              <w:t>44%</w:t>
            </w:r>
          </w:p>
        </w:tc>
        <w:tc>
          <w:tcPr>
            <w:tcW w:w="739" w:type="dxa"/>
            <w:tcBorders>
              <w:right w:val="single" w:sz="4" w:space="0" w:color="000000"/>
            </w:tcBorders>
            <w:shd w:val="clear" w:color="auto" w:fill="B4D78D"/>
          </w:tcPr>
          <w:p>
            <w:pPr>
              <w:pStyle w:val="TableParagraph"/>
              <w:spacing w:before="3"/>
              <w:rPr>
                <w:sz w:val="11"/>
              </w:rPr>
            </w:pPr>
          </w:p>
          <w:p>
            <w:pPr>
              <w:pStyle w:val="TableParagraph"/>
              <w:ind w:left="239" w:right="220"/>
              <w:jc w:val="center"/>
              <w:rPr>
                <w:sz w:val="10"/>
              </w:rPr>
            </w:pPr>
            <w:r>
              <w:rPr>
                <w:sz w:val="10"/>
              </w:rPr>
              <w:t>50%</w:t>
            </w:r>
          </w:p>
        </w:tc>
        <w:tc>
          <w:tcPr>
            <w:tcW w:w="756" w:type="dxa"/>
            <w:tcBorders>
              <w:left w:val="single" w:sz="4" w:space="0" w:color="000000"/>
            </w:tcBorders>
            <w:shd w:val="clear" w:color="auto" w:fill="E4E796"/>
          </w:tcPr>
          <w:p>
            <w:pPr>
              <w:pStyle w:val="TableParagraph"/>
              <w:spacing w:before="3"/>
              <w:rPr>
                <w:sz w:val="11"/>
              </w:rPr>
            </w:pPr>
          </w:p>
          <w:p>
            <w:pPr>
              <w:pStyle w:val="TableParagraph"/>
              <w:ind w:left="155" w:right="148"/>
              <w:jc w:val="center"/>
              <w:rPr>
                <w:sz w:val="10"/>
              </w:rPr>
            </w:pPr>
            <w:r>
              <w:rPr>
                <w:sz w:val="10"/>
              </w:rPr>
              <w:t>17%</w:t>
            </w:r>
          </w:p>
        </w:tc>
        <w:tc>
          <w:tcPr>
            <w:tcW w:w="746" w:type="dxa"/>
            <w:shd w:val="clear" w:color="auto" w:fill="83C782"/>
          </w:tcPr>
          <w:p>
            <w:pPr>
              <w:pStyle w:val="TableParagraph"/>
              <w:spacing w:before="3"/>
              <w:rPr>
                <w:sz w:val="11"/>
              </w:rPr>
            </w:pPr>
          </w:p>
          <w:p>
            <w:pPr>
              <w:pStyle w:val="TableParagraph"/>
              <w:ind w:right="244"/>
              <w:jc w:val="right"/>
              <w:rPr>
                <w:sz w:val="10"/>
              </w:rPr>
            </w:pPr>
            <w:r>
              <w:rPr>
                <w:sz w:val="10"/>
              </w:rPr>
              <w:t>80%</w:t>
            </w:r>
          </w:p>
        </w:tc>
        <w:tc>
          <w:tcPr>
            <w:tcW w:w="748" w:type="dxa"/>
            <w:shd w:val="clear" w:color="auto" w:fill="62BD7A"/>
          </w:tcPr>
          <w:p>
            <w:pPr>
              <w:pStyle w:val="TableParagraph"/>
              <w:spacing w:before="3"/>
              <w:rPr>
                <w:sz w:val="11"/>
              </w:rPr>
            </w:pPr>
          </w:p>
          <w:p>
            <w:pPr>
              <w:pStyle w:val="TableParagraph"/>
              <w:ind w:left="212" w:right="196"/>
              <w:jc w:val="center"/>
              <w:rPr>
                <w:sz w:val="10"/>
              </w:rPr>
            </w:pPr>
            <w:r>
              <w:rPr>
                <w:sz w:val="10"/>
              </w:rPr>
              <w:t>100%</w:t>
            </w:r>
          </w:p>
        </w:tc>
        <w:tc>
          <w:tcPr>
            <w:tcW w:w="749" w:type="dxa"/>
            <w:tcBorders>
              <w:right w:val="single" w:sz="4" w:space="0" w:color="000000"/>
            </w:tcBorders>
            <w:shd w:val="clear" w:color="auto" w:fill="C1DC8F"/>
          </w:tcPr>
          <w:p>
            <w:pPr>
              <w:pStyle w:val="TableParagraph"/>
              <w:spacing w:before="3"/>
              <w:rPr>
                <w:sz w:val="11"/>
              </w:rPr>
            </w:pPr>
          </w:p>
          <w:p>
            <w:pPr>
              <w:pStyle w:val="TableParagraph"/>
              <w:ind w:left="246" w:right="223"/>
              <w:jc w:val="center"/>
              <w:rPr>
                <w:sz w:val="10"/>
              </w:rPr>
            </w:pPr>
            <w:r>
              <w:rPr>
                <w:sz w:val="10"/>
              </w:rPr>
              <w:t>40%</w:t>
            </w:r>
          </w:p>
        </w:tc>
        <w:tc>
          <w:tcPr>
            <w:tcW w:w="746" w:type="dxa"/>
            <w:tcBorders>
              <w:left w:val="single" w:sz="4" w:space="0" w:color="000000"/>
            </w:tcBorders>
            <w:shd w:val="clear" w:color="auto" w:fill="91CD85"/>
          </w:tcPr>
          <w:p>
            <w:pPr>
              <w:pStyle w:val="TableParagraph"/>
              <w:spacing w:before="3"/>
              <w:rPr>
                <w:sz w:val="11"/>
              </w:rPr>
            </w:pPr>
          </w:p>
          <w:p>
            <w:pPr>
              <w:pStyle w:val="TableParagraph"/>
              <w:ind w:left="206" w:right="194"/>
              <w:jc w:val="center"/>
              <w:rPr>
                <w:sz w:val="10"/>
              </w:rPr>
            </w:pPr>
            <w:r>
              <w:rPr>
                <w:sz w:val="10"/>
              </w:rPr>
              <w:t>75%</w:t>
            </w:r>
          </w:p>
        </w:tc>
        <w:tc>
          <w:tcPr>
            <w:tcW w:w="748" w:type="dxa"/>
            <w:shd w:val="clear" w:color="auto" w:fill="BDDB8F"/>
          </w:tcPr>
          <w:p>
            <w:pPr>
              <w:pStyle w:val="TableParagraph"/>
              <w:spacing w:before="3"/>
              <w:rPr>
                <w:sz w:val="11"/>
              </w:rPr>
            </w:pPr>
          </w:p>
          <w:p>
            <w:pPr>
              <w:pStyle w:val="TableParagraph"/>
              <w:ind w:left="212" w:right="192"/>
              <w:jc w:val="center"/>
              <w:rPr>
                <w:sz w:val="10"/>
              </w:rPr>
            </w:pPr>
            <w:r>
              <w:rPr>
                <w:sz w:val="10"/>
              </w:rPr>
              <w:t>50%</w:t>
            </w:r>
          </w:p>
        </w:tc>
        <w:tc>
          <w:tcPr>
            <w:tcW w:w="748" w:type="dxa"/>
            <w:tcBorders>
              <w:right w:val="single" w:sz="4" w:space="0" w:color="000000"/>
            </w:tcBorders>
            <w:shd w:val="clear" w:color="auto" w:fill="BDDB8F"/>
          </w:tcPr>
          <w:p>
            <w:pPr>
              <w:pStyle w:val="TableParagraph"/>
              <w:spacing w:before="3"/>
              <w:rPr>
                <w:sz w:val="11"/>
              </w:rPr>
            </w:pPr>
          </w:p>
          <w:p>
            <w:pPr>
              <w:pStyle w:val="TableParagraph"/>
              <w:ind w:left="265"/>
              <w:rPr>
                <w:sz w:val="10"/>
              </w:rPr>
            </w:pPr>
            <w:r>
              <w:rPr>
                <w:sz w:val="10"/>
              </w:rPr>
              <w:t>50%</w:t>
            </w:r>
          </w:p>
        </w:tc>
      </w:tr>
      <w:tr>
        <w:trPr>
          <w:trHeight w:val="398" w:hRule="atLeast"/>
        </w:trPr>
        <w:tc>
          <w:tcPr>
            <w:tcW w:w="2909" w:type="dxa"/>
            <w:tcBorders>
              <w:right w:val="single" w:sz="4" w:space="0" w:color="000000"/>
            </w:tcBorders>
          </w:tcPr>
          <w:p>
            <w:pPr>
              <w:pStyle w:val="TableParagraph"/>
              <w:spacing w:before="77"/>
              <w:ind w:left="112" w:right="231"/>
              <w:rPr>
                <w:b/>
                <w:sz w:val="10"/>
              </w:rPr>
            </w:pPr>
            <w:r>
              <w:rPr>
                <w:sz w:val="10"/>
              </w:rPr>
              <w:t>My organisation has already started </w:t>
            </w:r>
            <w:r>
              <w:rPr>
                <w:b/>
                <w:sz w:val="10"/>
              </w:rPr>
              <w:t>working in a new or different way</w:t>
            </w:r>
          </w:p>
        </w:tc>
        <w:tc>
          <w:tcPr>
            <w:tcW w:w="746" w:type="dxa"/>
            <w:tcBorders>
              <w:left w:val="single" w:sz="4" w:space="0" w:color="000000"/>
            </w:tcBorders>
            <w:shd w:val="clear" w:color="auto" w:fill="E0E695"/>
          </w:tcPr>
          <w:p>
            <w:pPr>
              <w:pStyle w:val="TableParagraph"/>
              <w:spacing w:before="3"/>
              <w:rPr>
                <w:sz w:val="11"/>
              </w:rPr>
            </w:pPr>
          </w:p>
          <w:p>
            <w:pPr>
              <w:pStyle w:val="TableParagraph"/>
              <w:ind w:right="245"/>
              <w:jc w:val="right"/>
              <w:rPr>
                <w:sz w:val="10"/>
              </w:rPr>
            </w:pPr>
            <w:r>
              <w:rPr>
                <w:sz w:val="10"/>
              </w:rPr>
              <w:t>31%</w:t>
            </w:r>
          </w:p>
        </w:tc>
        <w:tc>
          <w:tcPr>
            <w:tcW w:w="739" w:type="dxa"/>
            <w:tcBorders>
              <w:right w:val="single" w:sz="4" w:space="0" w:color="000000"/>
            </w:tcBorders>
            <w:shd w:val="clear" w:color="auto" w:fill="8BCA84"/>
          </w:tcPr>
          <w:p>
            <w:pPr>
              <w:pStyle w:val="TableParagraph"/>
              <w:spacing w:before="3"/>
              <w:rPr>
                <w:sz w:val="11"/>
              </w:rPr>
            </w:pPr>
          </w:p>
          <w:p>
            <w:pPr>
              <w:pStyle w:val="TableParagraph"/>
              <w:ind w:left="239" w:right="220"/>
              <w:jc w:val="center"/>
              <w:rPr>
                <w:sz w:val="10"/>
              </w:rPr>
            </w:pPr>
            <w:r>
              <w:rPr>
                <w:sz w:val="10"/>
              </w:rPr>
              <w:t>67%</w:t>
            </w:r>
          </w:p>
        </w:tc>
        <w:tc>
          <w:tcPr>
            <w:tcW w:w="756" w:type="dxa"/>
            <w:tcBorders>
              <w:left w:val="single" w:sz="4" w:space="0" w:color="000000"/>
            </w:tcBorders>
            <w:shd w:val="clear" w:color="auto" w:fill="FFEE9C"/>
          </w:tcPr>
          <w:p>
            <w:pPr>
              <w:pStyle w:val="TableParagraph"/>
              <w:spacing w:before="3"/>
              <w:rPr>
                <w:sz w:val="11"/>
              </w:rPr>
            </w:pPr>
          </w:p>
          <w:p>
            <w:pPr>
              <w:pStyle w:val="TableParagraph"/>
              <w:ind w:left="156" w:right="146"/>
              <w:jc w:val="center"/>
              <w:rPr>
                <w:sz w:val="10"/>
              </w:rPr>
            </w:pPr>
            <w:r>
              <w:rPr>
                <w:sz w:val="10"/>
              </w:rPr>
              <w:t>0%</w:t>
            </w:r>
          </w:p>
        </w:tc>
        <w:tc>
          <w:tcPr>
            <w:tcW w:w="746" w:type="dxa"/>
            <w:shd w:val="clear" w:color="auto" w:fill="A1D288"/>
          </w:tcPr>
          <w:p>
            <w:pPr>
              <w:pStyle w:val="TableParagraph"/>
              <w:spacing w:before="3"/>
              <w:rPr>
                <w:sz w:val="11"/>
              </w:rPr>
            </w:pPr>
          </w:p>
          <w:p>
            <w:pPr>
              <w:pStyle w:val="TableParagraph"/>
              <w:ind w:right="244"/>
              <w:jc w:val="right"/>
              <w:rPr>
                <w:sz w:val="10"/>
              </w:rPr>
            </w:pPr>
            <w:r>
              <w:rPr>
                <w:sz w:val="10"/>
              </w:rPr>
              <w:t>60%</w:t>
            </w:r>
          </w:p>
        </w:tc>
        <w:tc>
          <w:tcPr>
            <w:tcW w:w="748" w:type="dxa"/>
            <w:shd w:val="clear" w:color="auto" w:fill="62BD7A"/>
          </w:tcPr>
          <w:p>
            <w:pPr>
              <w:pStyle w:val="TableParagraph"/>
              <w:spacing w:before="3"/>
              <w:rPr>
                <w:sz w:val="11"/>
              </w:rPr>
            </w:pPr>
          </w:p>
          <w:p>
            <w:pPr>
              <w:pStyle w:val="TableParagraph"/>
              <w:ind w:left="212" w:right="196"/>
              <w:jc w:val="center"/>
              <w:rPr>
                <w:sz w:val="10"/>
              </w:rPr>
            </w:pPr>
            <w:r>
              <w:rPr>
                <w:sz w:val="10"/>
              </w:rPr>
              <w:t>100%</w:t>
            </w:r>
          </w:p>
        </w:tc>
        <w:tc>
          <w:tcPr>
            <w:tcW w:w="749" w:type="dxa"/>
            <w:tcBorders>
              <w:right w:val="single" w:sz="4" w:space="0" w:color="000000"/>
            </w:tcBorders>
            <w:shd w:val="clear" w:color="auto" w:fill="A1D288"/>
          </w:tcPr>
          <w:p>
            <w:pPr>
              <w:pStyle w:val="TableParagraph"/>
              <w:spacing w:before="3"/>
              <w:rPr>
                <w:sz w:val="11"/>
              </w:rPr>
            </w:pPr>
          </w:p>
          <w:p>
            <w:pPr>
              <w:pStyle w:val="TableParagraph"/>
              <w:ind w:left="246" w:right="223"/>
              <w:jc w:val="center"/>
              <w:rPr>
                <w:sz w:val="10"/>
              </w:rPr>
            </w:pPr>
            <w:r>
              <w:rPr>
                <w:sz w:val="10"/>
              </w:rPr>
              <w:t>60%</w:t>
            </w:r>
          </w:p>
        </w:tc>
        <w:tc>
          <w:tcPr>
            <w:tcW w:w="746" w:type="dxa"/>
            <w:tcBorders>
              <w:left w:val="single" w:sz="4" w:space="0" w:color="000000"/>
            </w:tcBorders>
            <w:shd w:val="clear" w:color="auto" w:fill="62BD7A"/>
          </w:tcPr>
          <w:p>
            <w:pPr>
              <w:pStyle w:val="TableParagraph"/>
              <w:spacing w:before="3"/>
              <w:rPr>
                <w:sz w:val="11"/>
              </w:rPr>
            </w:pPr>
          </w:p>
          <w:p>
            <w:pPr>
              <w:pStyle w:val="TableParagraph"/>
              <w:ind w:left="206" w:right="195"/>
              <w:jc w:val="center"/>
              <w:rPr>
                <w:sz w:val="10"/>
              </w:rPr>
            </w:pPr>
            <w:r>
              <w:rPr>
                <w:sz w:val="10"/>
              </w:rPr>
              <w:t>100%</w:t>
            </w:r>
          </w:p>
        </w:tc>
        <w:tc>
          <w:tcPr>
            <w:tcW w:w="748" w:type="dxa"/>
            <w:shd w:val="clear" w:color="auto" w:fill="BDDB8F"/>
          </w:tcPr>
          <w:p>
            <w:pPr>
              <w:pStyle w:val="TableParagraph"/>
              <w:spacing w:before="3"/>
              <w:rPr>
                <w:sz w:val="11"/>
              </w:rPr>
            </w:pPr>
          </w:p>
          <w:p>
            <w:pPr>
              <w:pStyle w:val="TableParagraph"/>
              <w:ind w:left="212" w:right="192"/>
              <w:jc w:val="center"/>
              <w:rPr>
                <w:sz w:val="10"/>
              </w:rPr>
            </w:pPr>
            <w:r>
              <w:rPr>
                <w:sz w:val="10"/>
              </w:rPr>
              <w:t>50%</w:t>
            </w:r>
          </w:p>
        </w:tc>
        <w:tc>
          <w:tcPr>
            <w:tcW w:w="748" w:type="dxa"/>
            <w:tcBorders>
              <w:right w:val="single" w:sz="4" w:space="0" w:color="000000"/>
            </w:tcBorders>
            <w:shd w:val="clear" w:color="auto" w:fill="D7E293"/>
          </w:tcPr>
          <w:p>
            <w:pPr>
              <w:pStyle w:val="TableParagraph"/>
              <w:spacing w:before="3"/>
              <w:rPr>
                <w:sz w:val="11"/>
              </w:rPr>
            </w:pPr>
          </w:p>
          <w:p>
            <w:pPr>
              <w:pStyle w:val="TableParagraph"/>
              <w:ind w:left="265"/>
              <w:rPr>
                <w:sz w:val="10"/>
              </w:rPr>
            </w:pPr>
            <w:r>
              <w:rPr>
                <w:sz w:val="10"/>
              </w:rPr>
              <w:t>36%</w:t>
            </w:r>
          </w:p>
        </w:tc>
      </w:tr>
      <w:tr>
        <w:trPr>
          <w:trHeight w:val="395" w:hRule="atLeast"/>
        </w:trPr>
        <w:tc>
          <w:tcPr>
            <w:tcW w:w="2909" w:type="dxa"/>
            <w:tcBorders>
              <w:right w:val="single" w:sz="4" w:space="0" w:color="000000"/>
            </w:tcBorders>
          </w:tcPr>
          <w:p>
            <w:pPr>
              <w:pStyle w:val="TableParagraph"/>
              <w:spacing w:before="14"/>
              <w:ind w:left="112"/>
              <w:rPr>
                <w:sz w:val="10"/>
              </w:rPr>
            </w:pPr>
            <w:r>
              <w:rPr>
                <w:sz w:val="10"/>
              </w:rPr>
              <w:t>The governance group I am a member of has</w:t>
            </w:r>
          </w:p>
          <w:p>
            <w:pPr>
              <w:pStyle w:val="TableParagraph"/>
              <w:spacing w:line="120" w:lineRule="exact" w:before="6"/>
              <w:ind w:left="112" w:right="228"/>
              <w:rPr>
                <w:b/>
                <w:sz w:val="10"/>
              </w:rPr>
            </w:pPr>
            <w:r>
              <w:rPr>
                <w:sz w:val="10"/>
              </w:rPr>
              <w:t>provided the </w:t>
            </w:r>
            <w:r>
              <w:rPr>
                <w:b/>
                <w:sz w:val="10"/>
              </w:rPr>
              <w:t>necessary oversight, support and pathways</w:t>
            </w:r>
          </w:p>
        </w:tc>
        <w:tc>
          <w:tcPr>
            <w:tcW w:w="746" w:type="dxa"/>
            <w:tcBorders>
              <w:left w:val="single" w:sz="4" w:space="0" w:color="000000"/>
            </w:tcBorders>
            <w:shd w:val="clear" w:color="auto" w:fill="FFEE9C"/>
          </w:tcPr>
          <w:p>
            <w:pPr>
              <w:pStyle w:val="TableParagraph"/>
              <w:spacing w:before="3"/>
              <w:rPr>
                <w:sz w:val="11"/>
              </w:rPr>
            </w:pPr>
          </w:p>
          <w:p>
            <w:pPr>
              <w:pStyle w:val="TableParagraph"/>
              <w:ind w:right="245"/>
              <w:jc w:val="right"/>
              <w:rPr>
                <w:sz w:val="10"/>
              </w:rPr>
            </w:pPr>
            <w:r>
              <w:rPr>
                <w:sz w:val="10"/>
              </w:rPr>
              <w:t>19%</w:t>
            </w:r>
          </w:p>
        </w:tc>
        <w:tc>
          <w:tcPr>
            <w:tcW w:w="739" w:type="dxa"/>
            <w:tcBorders>
              <w:right w:val="single" w:sz="4" w:space="0" w:color="000000"/>
            </w:tcBorders>
            <w:shd w:val="clear" w:color="auto" w:fill="DCE394"/>
          </w:tcPr>
          <w:p>
            <w:pPr>
              <w:pStyle w:val="TableParagraph"/>
              <w:spacing w:before="3"/>
              <w:rPr>
                <w:sz w:val="11"/>
              </w:rPr>
            </w:pPr>
          </w:p>
          <w:p>
            <w:pPr>
              <w:pStyle w:val="TableParagraph"/>
              <w:ind w:left="239" w:right="220"/>
              <w:jc w:val="center"/>
              <w:rPr>
                <w:sz w:val="10"/>
              </w:rPr>
            </w:pPr>
            <w:r>
              <w:rPr>
                <w:sz w:val="10"/>
              </w:rPr>
              <w:t>33%</w:t>
            </w:r>
          </w:p>
        </w:tc>
        <w:tc>
          <w:tcPr>
            <w:tcW w:w="756" w:type="dxa"/>
            <w:tcBorders>
              <w:left w:val="single" w:sz="4" w:space="0" w:color="000000"/>
            </w:tcBorders>
            <w:shd w:val="clear" w:color="auto" w:fill="FFEE9C"/>
          </w:tcPr>
          <w:p>
            <w:pPr>
              <w:pStyle w:val="TableParagraph"/>
              <w:spacing w:before="3"/>
              <w:rPr>
                <w:sz w:val="11"/>
              </w:rPr>
            </w:pPr>
          </w:p>
          <w:p>
            <w:pPr>
              <w:pStyle w:val="TableParagraph"/>
              <w:ind w:left="156" w:right="146"/>
              <w:jc w:val="center"/>
              <w:rPr>
                <w:sz w:val="10"/>
              </w:rPr>
            </w:pPr>
            <w:r>
              <w:rPr>
                <w:sz w:val="10"/>
              </w:rPr>
              <w:t>0%</w:t>
            </w:r>
          </w:p>
        </w:tc>
        <w:tc>
          <w:tcPr>
            <w:tcW w:w="746" w:type="dxa"/>
            <w:shd w:val="clear" w:color="auto" w:fill="A1D288"/>
          </w:tcPr>
          <w:p>
            <w:pPr>
              <w:pStyle w:val="TableParagraph"/>
              <w:spacing w:before="3"/>
              <w:rPr>
                <w:sz w:val="11"/>
              </w:rPr>
            </w:pPr>
          </w:p>
          <w:p>
            <w:pPr>
              <w:pStyle w:val="TableParagraph"/>
              <w:ind w:right="244"/>
              <w:jc w:val="right"/>
              <w:rPr>
                <w:sz w:val="10"/>
              </w:rPr>
            </w:pPr>
            <w:r>
              <w:rPr>
                <w:sz w:val="10"/>
              </w:rPr>
              <w:t>60%</w:t>
            </w:r>
          </w:p>
        </w:tc>
        <w:tc>
          <w:tcPr>
            <w:tcW w:w="748" w:type="dxa"/>
            <w:shd w:val="clear" w:color="auto" w:fill="B0D68B"/>
          </w:tcPr>
          <w:p>
            <w:pPr>
              <w:pStyle w:val="TableParagraph"/>
              <w:spacing w:before="3"/>
              <w:rPr>
                <w:sz w:val="11"/>
              </w:rPr>
            </w:pPr>
          </w:p>
          <w:p>
            <w:pPr>
              <w:pStyle w:val="TableParagraph"/>
              <w:ind w:left="212" w:right="195"/>
              <w:jc w:val="center"/>
              <w:rPr>
                <w:sz w:val="10"/>
              </w:rPr>
            </w:pPr>
            <w:r>
              <w:rPr>
                <w:sz w:val="10"/>
              </w:rPr>
              <w:t>50%</w:t>
            </w:r>
          </w:p>
        </w:tc>
        <w:tc>
          <w:tcPr>
            <w:tcW w:w="749" w:type="dxa"/>
            <w:tcBorders>
              <w:right w:val="single" w:sz="4" w:space="0" w:color="000000"/>
            </w:tcBorders>
            <w:shd w:val="clear" w:color="auto" w:fill="DFE695"/>
          </w:tcPr>
          <w:p>
            <w:pPr>
              <w:pStyle w:val="TableParagraph"/>
              <w:spacing w:before="3"/>
              <w:rPr>
                <w:sz w:val="11"/>
              </w:rPr>
            </w:pPr>
          </w:p>
          <w:p>
            <w:pPr>
              <w:pStyle w:val="TableParagraph"/>
              <w:ind w:left="246" w:right="223"/>
              <w:jc w:val="center"/>
              <w:rPr>
                <w:sz w:val="10"/>
              </w:rPr>
            </w:pPr>
            <w:r>
              <w:rPr>
                <w:sz w:val="10"/>
              </w:rPr>
              <w:t>20%</w:t>
            </w:r>
          </w:p>
        </w:tc>
        <w:tc>
          <w:tcPr>
            <w:tcW w:w="746" w:type="dxa"/>
            <w:tcBorders>
              <w:left w:val="single" w:sz="4" w:space="0" w:color="000000"/>
            </w:tcBorders>
            <w:shd w:val="clear" w:color="auto" w:fill="BDDB8F"/>
          </w:tcPr>
          <w:p>
            <w:pPr>
              <w:pStyle w:val="TableParagraph"/>
              <w:spacing w:before="3"/>
              <w:rPr>
                <w:sz w:val="11"/>
              </w:rPr>
            </w:pPr>
          </w:p>
          <w:p>
            <w:pPr>
              <w:pStyle w:val="TableParagraph"/>
              <w:ind w:left="206" w:right="194"/>
              <w:jc w:val="center"/>
              <w:rPr>
                <w:sz w:val="10"/>
              </w:rPr>
            </w:pPr>
            <w:r>
              <w:rPr>
                <w:sz w:val="10"/>
              </w:rPr>
              <w:t>50%</w:t>
            </w:r>
          </w:p>
        </w:tc>
        <w:tc>
          <w:tcPr>
            <w:tcW w:w="748" w:type="dxa"/>
            <w:shd w:val="clear" w:color="auto" w:fill="BDDB8F"/>
          </w:tcPr>
          <w:p>
            <w:pPr>
              <w:pStyle w:val="TableParagraph"/>
              <w:spacing w:before="3"/>
              <w:rPr>
                <w:sz w:val="11"/>
              </w:rPr>
            </w:pPr>
          </w:p>
          <w:p>
            <w:pPr>
              <w:pStyle w:val="TableParagraph"/>
              <w:ind w:left="212" w:right="192"/>
              <w:jc w:val="center"/>
              <w:rPr>
                <w:sz w:val="10"/>
              </w:rPr>
            </w:pPr>
            <w:r>
              <w:rPr>
                <w:sz w:val="10"/>
              </w:rPr>
              <w:t>50%</w:t>
            </w:r>
          </w:p>
        </w:tc>
        <w:tc>
          <w:tcPr>
            <w:tcW w:w="748" w:type="dxa"/>
            <w:tcBorders>
              <w:right w:val="single" w:sz="4" w:space="0" w:color="000000"/>
            </w:tcBorders>
            <w:shd w:val="clear" w:color="auto" w:fill="FFEE9C"/>
          </w:tcPr>
          <w:p>
            <w:pPr>
              <w:pStyle w:val="TableParagraph"/>
              <w:spacing w:before="3"/>
              <w:rPr>
                <w:sz w:val="11"/>
              </w:rPr>
            </w:pPr>
          </w:p>
          <w:p>
            <w:pPr>
              <w:pStyle w:val="TableParagraph"/>
              <w:ind w:left="265"/>
              <w:rPr>
                <w:sz w:val="10"/>
              </w:rPr>
            </w:pPr>
            <w:r>
              <w:rPr>
                <w:sz w:val="10"/>
              </w:rPr>
              <w:t>14%</w:t>
            </w:r>
          </w:p>
        </w:tc>
      </w:tr>
    </w:tbl>
    <w:p>
      <w:pPr>
        <w:pStyle w:val="BodyText"/>
        <w:spacing w:before="6"/>
        <w:rPr>
          <w:sz w:val="23"/>
        </w:rPr>
      </w:pPr>
    </w:p>
    <w:p>
      <w:pPr>
        <w:spacing w:before="0"/>
        <w:ind w:left="300" w:right="0" w:firstLine="0"/>
        <w:jc w:val="left"/>
        <w:rPr>
          <w:sz w:val="16"/>
        </w:rPr>
      </w:pPr>
      <w:r>
        <w:rPr/>
        <w:pict>
          <v:group style="position:absolute;margin-left:516.580017pt;margin-top:-93.747025pt;width:37.2pt;height:19.95pt;mso-position-horizontal-relative:page;mso-position-vertical-relative:paragraph;z-index:-258141184" coordorigin="10332,-1875" coordsize="744,399">
            <v:rect style="position:absolute;left:10331;top:-1875;width:744;height:399" filled="true" fillcolor="#f1eb9a" stroked="false">
              <v:fill type="solid"/>
            </v:rect>
            <v:line style="position:absolute" from="10440,-1675" to="10972,-1675" stroked="true" strokeweight="6.12pt" strokecolor="#f1eb9a">
              <v:stroke dashstyle="solid"/>
            </v:line>
            <w10:wrap type="none"/>
          </v:group>
        </w:pict>
      </w:r>
      <w:r>
        <w:rPr>
          <w:color w:val="75787A"/>
          <w:sz w:val="16"/>
        </w:rPr>
        <w:t>Source: Deloitte Network Analysis Survey 2022 (total responses n=23)</w:t>
      </w:r>
    </w:p>
    <w:p>
      <w:pPr>
        <w:pStyle w:val="BodyText"/>
        <w:spacing w:before="6"/>
        <w:rPr>
          <w:sz w:val="21"/>
        </w:rPr>
      </w:pPr>
    </w:p>
    <w:p>
      <w:pPr>
        <w:pStyle w:val="Heading4"/>
        <w:spacing w:line="264" w:lineRule="auto"/>
        <w:ind w:right="1283"/>
      </w:pPr>
      <w:r>
        <w:rPr>
          <w:color w:val="0096A9"/>
        </w:rPr>
        <w:t>Those who work in strategic and policy development roles were more likely to have changed their current ways of working to be aligned with </w:t>
      </w:r>
      <w:r>
        <w:rPr>
          <w:i/>
          <w:color w:val="0096A9"/>
        </w:rPr>
        <w:t>Our Way’s </w:t>
      </w:r>
      <w:r>
        <w:rPr>
          <w:color w:val="0096A9"/>
        </w:rPr>
        <w:t>principles compared to those who deliver frontline services.</w:t>
      </w:r>
    </w:p>
    <w:p>
      <w:pPr>
        <w:pStyle w:val="BodyText"/>
        <w:spacing w:line="264" w:lineRule="auto" w:before="168"/>
        <w:ind w:left="300" w:right="735"/>
      </w:pPr>
      <w:r>
        <w:rPr/>
        <w:t>There appears to be significant variations in the observed changes when survey responses are disaggregated by role type </w:t>
      </w:r>
      <w:hyperlink w:history="true" w:anchor="_bookmark55">
        <w:r>
          <w:rPr/>
          <w:t>(Table 4.3</w:t>
        </w:r>
      </w:hyperlink>
      <w:r>
        <w:rPr/>
        <w:t>). Notably, all executives (noting the small sample size of two) agreed that their organisation has already started working in a new or different way and have started to see positive changes in decision making which support self-determination. This contrasts with the perspectives of those who work in frontline service delivery (sample size of 6), where there was broad-based disagreement that any change has taken place since the implementation of </w:t>
      </w:r>
      <w:r>
        <w:rPr>
          <w:i/>
        </w:rPr>
        <w:t>Our Way</w:t>
      </w:r>
      <w:r>
        <w:rPr/>
        <w:t>.</w:t>
      </w:r>
    </w:p>
    <w:p>
      <w:pPr>
        <w:pStyle w:val="BodyText"/>
        <w:spacing w:line="264" w:lineRule="auto" w:before="167"/>
        <w:ind w:left="300" w:right="980"/>
      </w:pPr>
      <w:r>
        <w:rPr/>
        <w:t>This disconnect between changes at a central level and what takes place in regions is similarly observed during stakeholder consultations. Overall, the perception is that </w:t>
      </w:r>
      <w:r>
        <w:rPr>
          <w:i/>
        </w:rPr>
        <w:t>Our Way </w:t>
      </w:r>
      <w:r>
        <w:rPr/>
        <w:t>has not been well embedded across different parts of a government agency. Interviewees who are part of</w:t>
      </w:r>
    </w:p>
    <w:p>
      <w:pPr>
        <w:spacing w:after="0" w:line="264" w:lineRule="auto"/>
        <w:sectPr>
          <w:pgSz w:w="11910" w:h="16840"/>
          <w:pgMar w:header="650" w:footer="420" w:top="1340" w:bottom="620" w:left="1140" w:right="700"/>
        </w:sectPr>
      </w:pPr>
    </w:p>
    <w:p>
      <w:pPr>
        <w:pStyle w:val="BodyText"/>
        <w:spacing w:line="264" w:lineRule="auto" w:before="109"/>
        <w:ind w:left="300" w:right="925"/>
      </w:pPr>
      <w:r>
        <w:rPr/>
        <w:t>strategic policy teams are more likely to prioritise </w:t>
      </w:r>
      <w:r>
        <w:rPr>
          <w:i/>
        </w:rPr>
        <w:t>Our Way </w:t>
      </w:r>
      <w:r>
        <w:rPr/>
        <w:t>and perceive the strategy to have changed their working approach. In contrast, stakeholders cited examples of frontline service workers not being aware of </w:t>
      </w:r>
      <w:r>
        <w:rPr>
          <w:i/>
        </w:rPr>
        <w:t>Our Way </w:t>
      </w:r>
      <w:r>
        <w:rPr/>
        <w:t>and not aligning their practice with the Child Placement Principle in service centres. In these instances, they are perceived to not know how and why </w:t>
      </w:r>
      <w:r>
        <w:rPr>
          <w:i/>
        </w:rPr>
        <w:t>Our </w:t>
      </w:r>
      <w:r>
        <w:rPr>
          <w:i/>
        </w:rPr>
        <w:t>Way </w:t>
      </w:r>
      <w:r>
        <w:rPr/>
        <w:t>should be embedded in their work. Some stakeholders attribute this to the lack of accountability mechanisms, where regional directors do not feel incentivised or compelled to implement </w:t>
      </w:r>
      <w:r>
        <w:rPr>
          <w:i/>
        </w:rPr>
        <w:t>Our Way’s </w:t>
      </w:r>
      <w:r>
        <w:rPr/>
        <w:t>key principles in their respective contexts. The inconsistent levels of buy in across different parts of an organisation needs to be addressed, as all system levers (from leadership to frontline service delivery) need to change in order to attain the objectives of </w:t>
      </w:r>
      <w:r>
        <w:rPr>
          <w:i/>
        </w:rPr>
        <w:t>Our </w:t>
      </w:r>
      <w:r>
        <w:rPr>
          <w:i/>
        </w:rPr>
        <w:t>Way</w:t>
      </w:r>
      <w:r>
        <w:rPr/>
        <w:t>.</w:t>
      </w:r>
    </w:p>
    <w:p>
      <w:pPr>
        <w:pStyle w:val="BodyText"/>
        <w:spacing w:before="8"/>
      </w:pPr>
    </w:p>
    <w:p>
      <w:pPr>
        <w:pStyle w:val="Heading2"/>
        <w:numPr>
          <w:ilvl w:val="1"/>
          <w:numId w:val="32"/>
        </w:numPr>
        <w:tabs>
          <w:tab w:pos="1095" w:val="left" w:leader="none"/>
        </w:tabs>
        <w:spacing w:line="240" w:lineRule="auto" w:before="0" w:after="0"/>
        <w:ind w:left="1094" w:right="0" w:hanging="795"/>
        <w:jc w:val="both"/>
      </w:pPr>
      <w:bookmarkStart w:name="_bookmark56" w:id="89"/>
      <w:bookmarkEnd w:id="89"/>
      <w:r>
        <w:rPr>
          <w:b w:val="0"/>
        </w:rPr>
      </w:r>
      <w:bookmarkStart w:name="_bookmark56" w:id="90"/>
      <w:bookmarkEnd w:id="90"/>
      <w:r>
        <w:rPr>
          <w:color w:val="61B5E4"/>
        </w:rPr>
        <w:t>Ho</w:t>
      </w:r>
      <w:r>
        <w:rPr>
          <w:color w:val="61B5E4"/>
        </w:rPr>
        <w:t>w stakeholders work together within the</w:t>
      </w:r>
      <w:r>
        <w:rPr>
          <w:color w:val="61B5E4"/>
          <w:spacing w:val="-9"/>
        </w:rPr>
        <w:t> </w:t>
      </w:r>
      <w:r>
        <w:rPr>
          <w:color w:val="61B5E4"/>
        </w:rPr>
        <w:t>system</w:t>
      </w:r>
    </w:p>
    <w:p>
      <w:pPr>
        <w:pStyle w:val="Heading4"/>
        <w:numPr>
          <w:ilvl w:val="2"/>
          <w:numId w:val="32"/>
        </w:numPr>
        <w:tabs>
          <w:tab w:pos="1321" w:val="left" w:leader="none"/>
        </w:tabs>
        <w:spacing w:line="240" w:lineRule="auto" w:before="20" w:after="0"/>
        <w:ind w:left="1320" w:right="0" w:hanging="1021"/>
        <w:jc w:val="both"/>
      </w:pPr>
      <w:bookmarkStart w:name="_bookmark57" w:id="91"/>
      <w:bookmarkEnd w:id="91"/>
      <w:r>
        <w:rPr>
          <w:b w:val="0"/>
        </w:rPr>
      </w:r>
      <w:bookmarkStart w:name="_bookmark57" w:id="92"/>
      <w:bookmarkEnd w:id="92"/>
      <w:r>
        <w:rPr/>
        <w:t>C</w:t>
      </w:r>
      <w:r>
        <w:rPr/>
        <w:t>urrent collaboration</w:t>
      </w:r>
      <w:r>
        <w:rPr>
          <w:spacing w:val="-2"/>
        </w:rPr>
        <w:t> </w:t>
      </w:r>
      <w:r>
        <w:rPr/>
        <w:t>approach</w:t>
      </w:r>
    </w:p>
    <w:p>
      <w:pPr>
        <w:spacing w:line="264" w:lineRule="auto" w:before="22"/>
        <w:ind w:left="300" w:right="1505" w:firstLine="0"/>
        <w:jc w:val="both"/>
        <w:rPr>
          <w:b/>
          <w:sz w:val="18"/>
        </w:rPr>
      </w:pPr>
      <w:r>
        <w:rPr>
          <w:b/>
          <w:color w:val="0096A9"/>
          <w:sz w:val="18"/>
        </w:rPr>
        <w:t>There have been observed changes in collaborative working approaches between government agencies, service providers and Aboriginal and Torres Strait Islander community representatives to enable the implementation of </w:t>
      </w:r>
      <w:r>
        <w:rPr>
          <w:b/>
          <w:i/>
          <w:color w:val="0096A9"/>
          <w:sz w:val="18"/>
        </w:rPr>
        <w:t>Our Way</w:t>
      </w:r>
      <w:r>
        <w:rPr>
          <w:b/>
          <w:color w:val="0096A9"/>
          <w:sz w:val="18"/>
        </w:rPr>
        <w:t>.</w:t>
      </w:r>
    </w:p>
    <w:p>
      <w:pPr>
        <w:pStyle w:val="BodyText"/>
        <w:spacing w:line="264" w:lineRule="auto" w:before="168"/>
        <w:ind w:left="300" w:right="806"/>
      </w:pPr>
      <w:r>
        <w:rPr/>
        <w:t>Stakeholders believed that </w:t>
      </w:r>
      <w:r>
        <w:rPr>
          <w:i/>
        </w:rPr>
        <w:t>Our Way </w:t>
      </w:r>
      <w:r>
        <w:rPr/>
        <w:t>has provided a platform for deliberate and concerted efforts across multiple government agencies to address the discrepancies in life outcomes for Aboriginal and Torres Strait Islander children. Existing governance arrangements – such as quarterly meetings on the strategy – were perceived to support regular information sharing among different agencies.</w:t>
      </w:r>
    </w:p>
    <w:p>
      <w:pPr>
        <w:pStyle w:val="BodyText"/>
        <w:spacing w:line="264" w:lineRule="auto" w:before="165"/>
        <w:ind w:left="300" w:right="749"/>
        <w:rPr>
          <w:i/>
        </w:rPr>
      </w:pPr>
      <w:r>
        <w:rPr/>
        <w:t>DCYJMA and ACCOs report that overall collaboration with other government agencies is more likely to occur via ad-hoc rather than structured meetings (</w:t>
      </w:r>
      <w:hyperlink w:history="true" w:anchor="_bookmark58">
        <w:r>
          <w:rPr/>
          <w:t>Table 4.4</w:t>
        </w:r>
      </w:hyperlink>
      <w:r>
        <w:rPr/>
        <w:t>). This contrasts with stakeholder feedback, where several interviewees commented that they appreciate having structured cross- government meetings and or working groups. They commented that such mechanisms are a valuable way to be kept up to date on what other government agencies are doing, where there may be synergies across the work of different agencies and to help stakeholders feel like they are part of the system. Meetings also allow for transparent discussions regarding </w:t>
      </w:r>
      <w:r>
        <w:rPr>
          <w:i/>
          <w:color w:val="85BB24"/>
        </w:rPr>
        <w:t>“who is responsible </w:t>
      </w:r>
      <w:r>
        <w:rPr>
          <w:i/>
          <w:color w:val="85BB24"/>
        </w:rPr>
        <w:t>for what, and how the work of each stakeholder fits together to contribute to Our Way”.</w:t>
      </w:r>
    </w:p>
    <w:p>
      <w:pPr>
        <w:pStyle w:val="BodyText"/>
        <w:spacing w:before="5"/>
        <w:rPr>
          <w:i/>
          <w:sz w:val="20"/>
        </w:rPr>
      </w:pPr>
    </w:p>
    <w:p>
      <w:pPr>
        <w:spacing w:line="278" w:lineRule="auto" w:before="0"/>
        <w:ind w:left="300" w:right="899" w:firstLine="0"/>
        <w:jc w:val="left"/>
        <w:rPr>
          <w:sz w:val="17"/>
        </w:rPr>
      </w:pPr>
      <w:r>
        <w:rPr>
          <w:color w:val="75787A"/>
          <w:sz w:val="17"/>
        </w:rPr>
        <w:t>Table </w:t>
      </w:r>
      <w:bookmarkStart w:name="_bookmark58" w:id="93"/>
      <w:bookmarkEnd w:id="93"/>
      <w:r>
        <w:rPr>
          <w:color w:val="75787A"/>
          <w:sz w:val="17"/>
        </w:rPr>
        <w:t>4.4</w:t>
      </w:r>
      <w:r>
        <w:rPr>
          <w:color w:val="75787A"/>
          <w:sz w:val="17"/>
        </w:rPr>
        <w:t> Proportion of total responses for structured versus ad-hoc meetings reported by DCYJMA and ACCO respondents with other system stakeholders</w:t>
      </w:r>
    </w:p>
    <w:p>
      <w:pPr>
        <w:pStyle w:val="BodyText"/>
        <w:spacing w:before="1"/>
        <w:rPr>
          <w:sz w:val="17"/>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0"/>
        <w:gridCol w:w="1174"/>
        <w:gridCol w:w="1178"/>
        <w:gridCol w:w="1174"/>
        <w:gridCol w:w="1180"/>
        <w:gridCol w:w="1173"/>
        <w:gridCol w:w="1176"/>
      </w:tblGrid>
      <w:tr>
        <w:trPr>
          <w:trHeight w:val="304" w:hRule="atLeast"/>
        </w:trPr>
        <w:tc>
          <w:tcPr>
            <w:tcW w:w="1910" w:type="dxa"/>
            <w:vMerge w:val="restart"/>
            <w:tcBorders>
              <w:bottom w:val="single" w:sz="4" w:space="0" w:color="000000"/>
              <w:right w:val="single" w:sz="4" w:space="0" w:color="000000"/>
            </w:tcBorders>
          </w:tcPr>
          <w:p>
            <w:pPr>
              <w:pStyle w:val="TableParagraph"/>
              <w:spacing w:before="3"/>
              <w:rPr>
                <w:sz w:val="16"/>
              </w:rPr>
            </w:pPr>
          </w:p>
          <w:p>
            <w:pPr>
              <w:pStyle w:val="TableParagraph"/>
              <w:ind w:left="108"/>
              <w:rPr>
                <w:b/>
                <w:sz w:val="14"/>
              </w:rPr>
            </w:pPr>
            <w:r>
              <w:rPr>
                <w:b/>
                <w:sz w:val="14"/>
              </w:rPr>
              <w:t>System stakeholders</w:t>
            </w:r>
          </w:p>
        </w:tc>
        <w:tc>
          <w:tcPr>
            <w:tcW w:w="2352" w:type="dxa"/>
            <w:gridSpan w:val="2"/>
            <w:tcBorders>
              <w:left w:val="single" w:sz="4" w:space="0" w:color="000000"/>
              <w:right w:val="single" w:sz="4" w:space="0" w:color="000000"/>
            </w:tcBorders>
            <w:shd w:val="clear" w:color="auto" w:fill="89DFFF"/>
          </w:tcPr>
          <w:p>
            <w:pPr>
              <w:pStyle w:val="TableParagraph"/>
              <w:spacing w:before="111"/>
              <w:ind w:left="830" w:right="831"/>
              <w:jc w:val="center"/>
              <w:rPr>
                <w:b/>
                <w:sz w:val="14"/>
              </w:rPr>
            </w:pPr>
            <w:r>
              <w:rPr>
                <w:b/>
                <w:color w:val="00506E"/>
                <w:sz w:val="14"/>
              </w:rPr>
              <w:t>DCYJMA</w:t>
            </w:r>
          </w:p>
        </w:tc>
        <w:tc>
          <w:tcPr>
            <w:tcW w:w="2354" w:type="dxa"/>
            <w:gridSpan w:val="2"/>
            <w:tcBorders>
              <w:left w:val="single" w:sz="4" w:space="0" w:color="000000"/>
              <w:right w:val="single" w:sz="4" w:space="0" w:color="000000"/>
            </w:tcBorders>
            <w:shd w:val="clear" w:color="auto" w:fill="51CFFF"/>
          </w:tcPr>
          <w:p>
            <w:pPr>
              <w:pStyle w:val="TableParagraph"/>
              <w:spacing w:before="111"/>
              <w:ind w:left="893" w:right="896"/>
              <w:jc w:val="center"/>
              <w:rPr>
                <w:b/>
                <w:sz w:val="14"/>
              </w:rPr>
            </w:pPr>
            <w:r>
              <w:rPr>
                <w:b/>
                <w:color w:val="00506E"/>
                <w:sz w:val="14"/>
              </w:rPr>
              <w:t>ACCOs</w:t>
            </w:r>
          </w:p>
        </w:tc>
        <w:tc>
          <w:tcPr>
            <w:tcW w:w="2349" w:type="dxa"/>
            <w:gridSpan w:val="2"/>
            <w:tcBorders>
              <w:left w:val="single" w:sz="4" w:space="0" w:color="000000"/>
            </w:tcBorders>
            <w:shd w:val="clear" w:color="auto" w:fill="00506E"/>
          </w:tcPr>
          <w:p>
            <w:pPr>
              <w:pStyle w:val="TableParagraph"/>
              <w:spacing w:before="111"/>
              <w:ind w:left="888" w:right="896"/>
              <w:jc w:val="center"/>
              <w:rPr>
                <w:b/>
                <w:sz w:val="14"/>
              </w:rPr>
            </w:pPr>
            <w:r>
              <w:rPr>
                <w:b/>
                <w:color w:val="C4EEFF"/>
                <w:sz w:val="14"/>
              </w:rPr>
              <w:t>Total</w:t>
            </w:r>
          </w:p>
        </w:tc>
      </w:tr>
      <w:tr>
        <w:trPr>
          <w:trHeight w:val="249" w:hRule="atLeast"/>
        </w:trPr>
        <w:tc>
          <w:tcPr>
            <w:tcW w:w="1910" w:type="dxa"/>
            <w:vMerge/>
            <w:tcBorders>
              <w:top w:val="nil"/>
              <w:bottom w:val="single" w:sz="4" w:space="0" w:color="000000"/>
              <w:right w:val="single" w:sz="4" w:space="0" w:color="000000"/>
            </w:tcBorders>
          </w:tcPr>
          <w:p>
            <w:pPr>
              <w:rPr>
                <w:sz w:val="2"/>
                <w:szCs w:val="2"/>
              </w:rPr>
            </w:pPr>
          </w:p>
        </w:tc>
        <w:tc>
          <w:tcPr>
            <w:tcW w:w="1174" w:type="dxa"/>
            <w:tcBorders>
              <w:left w:val="single" w:sz="4" w:space="0" w:color="000000"/>
              <w:bottom w:val="single" w:sz="4" w:space="0" w:color="000000"/>
            </w:tcBorders>
            <w:shd w:val="clear" w:color="auto" w:fill="89DFFF"/>
          </w:tcPr>
          <w:p>
            <w:pPr>
              <w:pStyle w:val="TableParagraph"/>
              <w:spacing w:before="22"/>
              <w:ind w:left="208"/>
              <w:rPr>
                <w:sz w:val="14"/>
              </w:rPr>
            </w:pPr>
            <w:r>
              <w:rPr>
                <w:color w:val="00506E"/>
                <w:sz w:val="14"/>
              </w:rPr>
              <w:t>Structured</w:t>
            </w:r>
          </w:p>
        </w:tc>
        <w:tc>
          <w:tcPr>
            <w:tcW w:w="1178" w:type="dxa"/>
            <w:tcBorders>
              <w:bottom w:val="single" w:sz="4" w:space="0" w:color="000000"/>
              <w:right w:val="single" w:sz="4" w:space="0" w:color="000000"/>
            </w:tcBorders>
            <w:shd w:val="clear" w:color="auto" w:fill="89DFFF"/>
          </w:tcPr>
          <w:p>
            <w:pPr>
              <w:pStyle w:val="TableParagraph"/>
              <w:spacing w:before="22"/>
              <w:ind w:left="341"/>
              <w:rPr>
                <w:sz w:val="14"/>
              </w:rPr>
            </w:pPr>
            <w:r>
              <w:rPr>
                <w:color w:val="00506E"/>
                <w:sz w:val="14"/>
              </w:rPr>
              <w:t>Ad-hoc</w:t>
            </w:r>
          </w:p>
        </w:tc>
        <w:tc>
          <w:tcPr>
            <w:tcW w:w="1174" w:type="dxa"/>
            <w:tcBorders>
              <w:left w:val="single" w:sz="4" w:space="0" w:color="000000"/>
              <w:bottom w:val="single" w:sz="4" w:space="0" w:color="000000"/>
            </w:tcBorders>
            <w:shd w:val="clear" w:color="auto" w:fill="51CFFF"/>
          </w:tcPr>
          <w:p>
            <w:pPr>
              <w:pStyle w:val="TableParagraph"/>
              <w:spacing w:before="22"/>
              <w:ind w:left="207"/>
              <w:rPr>
                <w:sz w:val="14"/>
              </w:rPr>
            </w:pPr>
            <w:r>
              <w:rPr>
                <w:color w:val="00506E"/>
                <w:sz w:val="14"/>
              </w:rPr>
              <w:t>Structured</w:t>
            </w:r>
          </w:p>
        </w:tc>
        <w:tc>
          <w:tcPr>
            <w:tcW w:w="1180" w:type="dxa"/>
            <w:tcBorders>
              <w:bottom w:val="single" w:sz="4" w:space="0" w:color="000000"/>
              <w:right w:val="single" w:sz="4" w:space="0" w:color="000000"/>
            </w:tcBorders>
            <w:shd w:val="clear" w:color="auto" w:fill="51CFFF"/>
          </w:tcPr>
          <w:p>
            <w:pPr>
              <w:pStyle w:val="TableParagraph"/>
              <w:spacing w:before="22"/>
              <w:ind w:left="341"/>
              <w:rPr>
                <w:sz w:val="14"/>
              </w:rPr>
            </w:pPr>
            <w:r>
              <w:rPr>
                <w:color w:val="00506E"/>
                <w:sz w:val="14"/>
              </w:rPr>
              <w:t>Ad-hoc</w:t>
            </w:r>
          </w:p>
        </w:tc>
        <w:tc>
          <w:tcPr>
            <w:tcW w:w="1173" w:type="dxa"/>
            <w:tcBorders>
              <w:left w:val="single" w:sz="4" w:space="0" w:color="000000"/>
              <w:bottom w:val="single" w:sz="4" w:space="0" w:color="000000"/>
            </w:tcBorders>
            <w:shd w:val="clear" w:color="auto" w:fill="00506E"/>
          </w:tcPr>
          <w:p>
            <w:pPr>
              <w:pStyle w:val="TableParagraph"/>
              <w:spacing w:before="22"/>
              <w:ind w:left="205"/>
              <w:rPr>
                <w:sz w:val="14"/>
              </w:rPr>
            </w:pPr>
            <w:r>
              <w:rPr>
                <w:color w:val="C4EEFF"/>
                <w:sz w:val="14"/>
              </w:rPr>
              <w:t>Structured</w:t>
            </w:r>
          </w:p>
        </w:tc>
        <w:tc>
          <w:tcPr>
            <w:tcW w:w="1176" w:type="dxa"/>
            <w:tcBorders>
              <w:bottom w:val="single" w:sz="4" w:space="0" w:color="000000"/>
            </w:tcBorders>
            <w:shd w:val="clear" w:color="auto" w:fill="00506E"/>
          </w:tcPr>
          <w:p>
            <w:pPr>
              <w:pStyle w:val="TableParagraph"/>
              <w:spacing w:before="22"/>
              <w:ind w:left="341"/>
              <w:rPr>
                <w:sz w:val="14"/>
              </w:rPr>
            </w:pPr>
            <w:r>
              <w:rPr>
                <w:color w:val="C4EEFF"/>
                <w:sz w:val="14"/>
              </w:rPr>
              <w:t>Ad-hoc</w:t>
            </w:r>
          </w:p>
        </w:tc>
      </w:tr>
      <w:tr>
        <w:trPr>
          <w:trHeight w:val="280" w:hRule="atLeast"/>
        </w:trPr>
        <w:tc>
          <w:tcPr>
            <w:tcW w:w="1910" w:type="dxa"/>
            <w:tcBorders>
              <w:top w:val="single" w:sz="4" w:space="0" w:color="000000"/>
              <w:right w:val="single" w:sz="4" w:space="0" w:color="000000"/>
            </w:tcBorders>
          </w:tcPr>
          <w:p>
            <w:pPr>
              <w:pStyle w:val="TableParagraph"/>
              <w:spacing w:line="150" w:lineRule="exact" w:before="111"/>
              <w:ind w:left="108"/>
              <w:rPr>
                <w:sz w:val="14"/>
              </w:rPr>
            </w:pPr>
            <w:r>
              <w:rPr>
                <w:sz w:val="14"/>
              </w:rPr>
              <w:t>DCYJMA</w:t>
            </w:r>
          </w:p>
        </w:tc>
        <w:tc>
          <w:tcPr>
            <w:tcW w:w="1174" w:type="dxa"/>
            <w:tcBorders>
              <w:top w:val="single" w:sz="4" w:space="0" w:color="000000"/>
              <w:left w:val="single" w:sz="4" w:space="0" w:color="000000"/>
            </w:tcBorders>
            <w:shd w:val="clear" w:color="auto" w:fill="62BD7A"/>
          </w:tcPr>
          <w:p>
            <w:pPr>
              <w:pStyle w:val="TableParagraph"/>
              <w:spacing w:line="150" w:lineRule="exact" w:before="111"/>
              <w:ind w:right="104"/>
              <w:jc w:val="right"/>
              <w:rPr>
                <w:sz w:val="14"/>
              </w:rPr>
            </w:pPr>
            <w:r>
              <w:rPr>
                <w:w w:val="95"/>
                <w:sz w:val="14"/>
              </w:rPr>
              <w:t>100%</w:t>
            </w:r>
          </w:p>
        </w:tc>
        <w:tc>
          <w:tcPr>
            <w:tcW w:w="1178" w:type="dxa"/>
            <w:tcBorders>
              <w:top w:val="single" w:sz="4" w:space="0" w:color="000000"/>
              <w:right w:val="single" w:sz="4" w:space="0" w:color="000000"/>
            </w:tcBorders>
            <w:shd w:val="clear" w:color="auto" w:fill="FFEE9C"/>
          </w:tcPr>
          <w:p>
            <w:pPr>
              <w:pStyle w:val="TableParagraph"/>
              <w:spacing w:line="150" w:lineRule="exact" w:before="111"/>
              <w:ind w:right="103"/>
              <w:jc w:val="right"/>
              <w:rPr>
                <w:sz w:val="14"/>
              </w:rPr>
            </w:pPr>
            <w:r>
              <w:rPr>
                <w:w w:val="95"/>
                <w:sz w:val="14"/>
              </w:rPr>
              <w:t>0%</w:t>
            </w:r>
          </w:p>
        </w:tc>
        <w:tc>
          <w:tcPr>
            <w:tcW w:w="1174" w:type="dxa"/>
            <w:tcBorders>
              <w:top w:val="single" w:sz="4" w:space="0" w:color="000000"/>
              <w:left w:val="single" w:sz="4" w:space="0" w:color="000000"/>
            </w:tcBorders>
            <w:shd w:val="clear" w:color="auto" w:fill="D7E293"/>
          </w:tcPr>
          <w:p>
            <w:pPr>
              <w:pStyle w:val="TableParagraph"/>
              <w:spacing w:line="150" w:lineRule="exact" w:before="111"/>
              <w:ind w:right="106"/>
              <w:jc w:val="right"/>
              <w:rPr>
                <w:sz w:val="14"/>
              </w:rPr>
            </w:pPr>
            <w:r>
              <w:rPr>
                <w:w w:val="95"/>
                <w:sz w:val="14"/>
              </w:rPr>
              <w:t>25%</w:t>
            </w:r>
          </w:p>
        </w:tc>
        <w:tc>
          <w:tcPr>
            <w:tcW w:w="1180" w:type="dxa"/>
            <w:tcBorders>
              <w:top w:val="single" w:sz="4" w:space="0" w:color="000000"/>
              <w:right w:val="single" w:sz="4" w:space="0" w:color="000000"/>
            </w:tcBorders>
            <w:shd w:val="clear" w:color="auto" w:fill="89CA84"/>
          </w:tcPr>
          <w:p>
            <w:pPr>
              <w:pStyle w:val="TableParagraph"/>
              <w:spacing w:line="150" w:lineRule="exact" w:before="111"/>
              <w:ind w:right="105"/>
              <w:jc w:val="right"/>
              <w:rPr>
                <w:sz w:val="14"/>
              </w:rPr>
            </w:pPr>
            <w:r>
              <w:rPr>
                <w:w w:val="95"/>
                <w:sz w:val="14"/>
              </w:rPr>
              <w:t>75%</w:t>
            </w:r>
          </w:p>
        </w:tc>
        <w:tc>
          <w:tcPr>
            <w:tcW w:w="1173" w:type="dxa"/>
            <w:tcBorders>
              <w:top w:val="single" w:sz="4" w:space="0" w:color="000000"/>
              <w:left w:val="single" w:sz="4" w:space="0" w:color="000000"/>
            </w:tcBorders>
            <w:shd w:val="clear" w:color="auto" w:fill="8ACA84"/>
          </w:tcPr>
          <w:p>
            <w:pPr>
              <w:pStyle w:val="TableParagraph"/>
              <w:spacing w:line="150" w:lineRule="exact" w:before="111"/>
              <w:ind w:right="107"/>
              <w:jc w:val="right"/>
              <w:rPr>
                <w:sz w:val="14"/>
              </w:rPr>
            </w:pPr>
            <w:r>
              <w:rPr>
                <w:w w:val="95"/>
                <w:sz w:val="14"/>
              </w:rPr>
              <w:t>67%</w:t>
            </w:r>
          </w:p>
        </w:tc>
        <w:tc>
          <w:tcPr>
            <w:tcW w:w="1176" w:type="dxa"/>
            <w:tcBorders>
              <w:top w:val="single" w:sz="4" w:space="0" w:color="000000"/>
            </w:tcBorders>
            <w:shd w:val="clear" w:color="auto" w:fill="D9E293"/>
          </w:tcPr>
          <w:p>
            <w:pPr>
              <w:pStyle w:val="TableParagraph"/>
              <w:spacing w:line="150" w:lineRule="exact" w:before="111"/>
              <w:ind w:right="106"/>
              <w:jc w:val="right"/>
              <w:rPr>
                <w:sz w:val="14"/>
              </w:rPr>
            </w:pPr>
            <w:r>
              <w:rPr>
                <w:w w:val="95"/>
                <w:sz w:val="14"/>
              </w:rPr>
              <w:t>33%</w:t>
            </w:r>
          </w:p>
        </w:tc>
      </w:tr>
      <w:tr>
        <w:trPr>
          <w:trHeight w:val="280" w:hRule="atLeast"/>
        </w:trPr>
        <w:tc>
          <w:tcPr>
            <w:tcW w:w="1910" w:type="dxa"/>
            <w:tcBorders>
              <w:right w:val="single" w:sz="4" w:space="0" w:color="000000"/>
            </w:tcBorders>
          </w:tcPr>
          <w:p>
            <w:pPr>
              <w:pStyle w:val="TableParagraph"/>
              <w:spacing w:line="150" w:lineRule="exact" w:before="111"/>
              <w:ind w:left="108"/>
              <w:rPr>
                <w:sz w:val="14"/>
              </w:rPr>
            </w:pPr>
            <w:r>
              <w:rPr>
                <w:sz w:val="14"/>
              </w:rPr>
              <w:t>DCHDE</w:t>
            </w:r>
          </w:p>
        </w:tc>
        <w:tc>
          <w:tcPr>
            <w:tcW w:w="1174" w:type="dxa"/>
            <w:tcBorders>
              <w:left w:val="single" w:sz="4" w:space="0" w:color="000000"/>
            </w:tcBorders>
            <w:shd w:val="clear" w:color="auto" w:fill="D7E293"/>
          </w:tcPr>
          <w:p>
            <w:pPr>
              <w:pStyle w:val="TableParagraph"/>
              <w:spacing w:line="150" w:lineRule="exact" w:before="111"/>
              <w:ind w:right="104"/>
              <w:jc w:val="right"/>
              <w:rPr>
                <w:sz w:val="14"/>
              </w:rPr>
            </w:pPr>
            <w:r>
              <w:rPr>
                <w:w w:val="95"/>
                <w:sz w:val="14"/>
              </w:rPr>
              <w:t>25%</w:t>
            </w:r>
          </w:p>
        </w:tc>
        <w:tc>
          <w:tcPr>
            <w:tcW w:w="1178" w:type="dxa"/>
            <w:tcBorders>
              <w:right w:val="single" w:sz="4" w:space="0" w:color="000000"/>
            </w:tcBorders>
            <w:shd w:val="clear" w:color="auto" w:fill="89CA84"/>
          </w:tcPr>
          <w:p>
            <w:pPr>
              <w:pStyle w:val="TableParagraph"/>
              <w:spacing w:line="150" w:lineRule="exact" w:before="111"/>
              <w:ind w:right="103"/>
              <w:jc w:val="right"/>
              <w:rPr>
                <w:sz w:val="14"/>
              </w:rPr>
            </w:pPr>
            <w:r>
              <w:rPr>
                <w:w w:val="95"/>
                <w:sz w:val="14"/>
              </w:rPr>
              <w:t>75%</w:t>
            </w:r>
          </w:p>
        </w:tc>
        <w:tc>
          <w:tcPr>
            <w:tcW w:w="1174" w:type="dxa"/>
            <w:tcBorders>
              <w:left w:val="single" w:sz="4" w:space="0" w:color="000000"/>
            </w:tcBorders>
            <w:shd w:val="clear" w:color="auto" w:fill="B0D68B"/>
          </w:tcPr>
          <w:p>
            <w:pPr>
              <w:pStyle w:val="TableParagraph"/>
              <w:spacing w:line="150" w:lineRule="exact" w:before="111"/>
              <w:ind w:right="106"/>
              <w:jc w:val="right"/>
              <w:rPr>
                <w:sz w:val="14"/>
              </w:rPr>
            </w:pPr>
            <w:r>
              <w:rPr>
                <w:w w:val="95"/>
                <w:sz w:val="14"/>
              </w:rPr>
              <w:t>50%</w:t>
            </w:r>
          </w:p>
        </w:tc>
        <w:tc>
          <w:tcPr>
            <w:tcW w:w="1180" w:type="dxa"/>
            <w:tcBorders>
              <w:right w:val="single" w:sz="4" w:space="0" w:color="000000"/>
            </w:tcBorders>
            <w:shd w:val="clear" w:color="auto" w:fill="B0D68B"/>
          </w:tcPr>
          <w:p>
            <w:pPr>
              <w:pStyle w:val="TableParagraph"/>
              <w:spacing w:line="150" w:lineRule="exact" w:before="111"/>
              <w:ind w:right="105"/>
              <w:jc w:val="right"/>
              <w:rPr>
                <w:sz w:val="14"/>
              </w:rPr>
            </w:pPr>
            <w:r>
              <w:rPr>
                <w:w w:val="95"/>
                <w:sz w:val="14"/>
              </w:rPr>
              <w:t>50%</w:t>
            </w:r>
          </w:p>
        </w:tc>
        <w:tc>
          <w:tcPr>
            <w:tcW w:w="1173" w:type="dxa"/>
            <w:tcBorders>
              <w:left w:val="single" w:sz="4" w:space="0" w:color="000000"/>
            </w:tcBorders>
            <w:shd w:val="clear" w:color="auto" w:fill="D9E293"/>
          </w:tcPr>
          <w:p>
            <w:pPr>
              <w:pStyle w:val="TableParagraph"/>
              <w:spacing w:line="150" w:lineRule="exact" w:before="111"/>
              <w:ind w:right="107"/>
              <w:jc w:val="right"/>
              <w:rPr>
                <w:sz w:val="14"/>
              </w:rPr>
            </w:pPr>
            <w:r>
              <w:rPr>
                <w:w w:val="95"/>
                <w:sz w:val="14"/>
              </w:rPr>
              <w:t>33%</w:t>
            </w:r>
          </w:p>
        </w:tc>
        <w:tc>
          <w:tcPr>
            <w:tcW w:w="1176" w:type="dxa"/>
            <w:shd w:val="clear" w:color="auto" w:fill="8ACA84"/>
          </w:tcPr>
          <w:p>
            <w:pPr>
              <w:pStyle w:val="TableParagraph"/>
              <w:spacing w:line="150" w:lineRule="exact" w:before="111"/>
              <w:ind w:right="106"/>
              <w:jc w:val="right"/>
              <w:rPr>
                <w:sz w:val="14"/>
              </w:rPr>
            </w:pPr>
            <w:r>
              <w:rPr>
                <w:w w:val="95"/>
                <w:sz w:val="14"/>
              </w:rPr>
              <w:t>67%</w:t>
            </w:r>
          </w:p>
        </w:tc>
      </w:tr>
      <w:tr>
        <w:trPr>
          <w:trHeight w:val="280" w:hRule="atLeast"/>
        </w:trPr>
        <w:tc>
          <w:tcPr>
            <w:tcW w:w="1910" w:type="dxa"/>
            <w:tcBorders>
              <w:right w:val="single" w:sz="4" w:space="0" w:color="000000"/>
            </w:tcBorders>
          </w:tcPr>
          <w:p>
            <w:pPr>
              <w:pStyle w:val="TableParagraph"/>
              <w:spacing w:line="150" w:lineRule="exact" w:before="111"/>
              <w:ind w:left="108"/>
              <w:rPr>
                <w:sz w:val="14"/>
              </w:rPr>
            </w:pPr>
            <w:r>
              <w:rPr>
                <w:sz w:val="14"/>
              </w:rPr>
              <w:t>DoE</w:t>
            </w:r>
          </w:p>
        </w:tc>
        <w:tc>
          <w:tcPr>
            <w:tcW w:w="1174" w:type="dxa"/>
            <w:tcBorders>
              <w:left w:val="single" w:sz="4" w:space="0" w:color="000000"/>
            </w:tcBorders>
            <w:shd w:val="clear" w:color="auto" w:fill="96CF85"/>
          </w:tcPr>
          <w:p>
            <w:pPr>
              <w:pStyle w:val="TableParagraph"/>
              <w:spacing w:line="150" w:lineRule="exact" w:before="111"/>
              <w:ind w:right="104"/>
              <w:jc w:val="right"/>
              <w:rPr>
                <w:sz w:val="14"/>
              </w:rPr>
            </w:pPr>
            <w:r>
              <w:rPr>
                <w:w w:val="95"/>
                <w:sz w:val="14"/>
              </w:rPr>
              <w:t>67%</w:t>
            </w:r>
          </w:p>
        </w:tc>
        <w:tc>
          <w:tcPr>
            <w:tcW w:w="1178" w:type="dxa"/>
            <w:tcBorders>
              <w:right w:val="single" w:sz="4" w:space="0" w:color="000000"/>
            </w:tcBorders>
            <w:shd w:val="clear" w:color="auto" w:fill="CADF91"/>
          </w:tcPr>
          <w:p>
            <w:pPr>
              <w:pStyle w:val="TableParagraph"/>
              <w:spacing w:line="150" w:lineRule="exact" w:before="111"/>
              <w:ind w:right="103"/>
              <w:jc w:val="right"/>
              <w:rPr>
                <w:sz w:val="14"/>
              </w:rPr>
            </w:pPr>
            <w:r>
              <w:rPr>
                <w:w w:val="95"/>
                <w:sz w:val="14"/>
              </w:rPr>
              <w:t>33%</w:t>
            </w:r>
          </w:p>
        </w:tc>
        <w:tc>
          <w:tcPr>
            <w:tcW w:w="1174" w:type="dxa"/>
            <w:tcBorders>
              <w:left w:val="single" w:sz="4" w:space="0" w:color="000000"/>
            </w:tcBorders>
            <w:shd w:val="clear" w:color="auto" w:fill="FFEE9C"/>
          </w:tcPr>
          <w:p>
            <w:pPr>
              <w:pStyle w:val="TableParagraph"/>
              <w:spacing w:line="150" w:lineRule="exact" w:before="111"/>
              <w:ind w:right="106"/>
              <w:jc w:val="right"/>
              <w:rPr>
                <w:sz w:val="14"/>
              </w:rPr>
            </w:pPr>
            <w:r>
              <w:rPr>
                <w:w w:val="95"/>
                <w:sz w:val="14"/>
              </w:rPr>
              <w:t>0%</w:t>
            </w:r>
          </w:p>
        </w:tc>
        <w:tc>
          <w:tcPr>
            <w:tcW w:w="1180" w:type="dxa"/>
            <w:tcBorders>
              <w:right w:val="single" w:sz="4" w:space="0" w:color="000000"/>
            </w:tcBorders>
            <w:shd w:val="clear" w:color="auto" w:fill="62BD7A"/>
          </w:tcPr>
          <w:p>
            <w:pPr>
              <w:pStyle w:val="TableParagraph"/>
              <w:spacing w:line="150" w:lineRule="exact" w:before="111"/>
              <w:ind w:right="105"/>
              <w:jc w:val="right"/>
              <w:rPr>
                <w:sz w:val="14"/>
              </w:rPr>
            </w:pPr>
            <w:r>
              <w:rPr>
                <w:w w:val="95"/>
                <w:sz w:val="14"/>
              </w:rPr>
              <w:t>100%</w:t>
            </w:r>
          </w:p>
        </w:tc>
        <w:tc>
          <w:tcPr>
            <w:tcW w:w="1173" w:type="dxa"/>
            <w:tcBorders>
              <w:left w:val="single" w:sz="4" w:space="0" w:color="000000"/>
            </w:tcBorders>
            <w:shd w:val="clear" w:color="auto" w:fill="C8DE91"/>
          </w:tcPr>
          <w:p>
            <w:pPr>
              <w:pStyle w:val="TableParagraph"/>
              <w:spacing w:line="150" w:lineRule="exact" w:before="111"/>
              <w:ind w:right="107"/>
              <w:jc w:val="right"/>
              <w:rPr>
                <w:sz w:val="14"/>
              </w:rPr>
            </w:pPr>
            <w:r>
              <w:rPr>
                <w:w w:val="95"/>
                <w:sz w:val="14"/>
              </w:rPr>
              <w:t>40%</w:t>
            </w:r>
          </w:p>
        </w:tc>
        <w:tc>
          <w:tcPr>
            <w:tcW w:w="1176" w:type="dxa"/>
            <w:shd w:val="clear" w:color="auto" w:fill="9AD086"/>
          </w:tcPr>
          <w:p>
            <w:pPr>
              <w:pStyle w:val="TableParagraph"/>
              <w:spacing w:line="150" w:lineRule="exact" w:before="111"/>
              <w:ind w:right="106"/>
              <w:jc w:val="right"/>
              <w:rPr>
                <w:sz w:val="14"/>
              </w:rPr>
            </w:pPr>
            <w:r>
              <w:rPr>
                <w:w w:val="95"/>
                <w:sz w:val="14"/>
              </w:rPr>
              <w:t>60%</w:t>
            </w:r>
          </w:p>
        </w:tc>
      </w:tr>
      <w:tr>
        <w:trPr>
          <w:trHeight w:val="281" w:hRule="atLeast"/>
        </w:trPr>
        <w:tc>
          <w:tcPr>
            <w:tcW w:w="1910" w:type="dxa"/>
            <w:tcBorders>
              <w:right w:val="single" w:sz="4" w:space="0" w:color="000000"/>
            </w:tcBorders>
          </w:tcPr>
          <w:p>
            <w:pPr>
              <w:pStyle w:val="TableParagraph"/>
              <w:spacing w:line="150" w:lineRule="exact" w:before="111"/>
              <w:ind w:left="108"/>
              <w:rPr>
                <w:sz w:val="14"/>
              </w:rPr>
            </w:pPr>
            <w:r>
              <w:rPr>
                <w:sz w:val="14"/>
              </w:rPr>
              <w:t>DJAG</w:t>
            </w:r>
          </w:p>
        </w:tc>
        <w:tc>
          <w:tcPr>
            <w:tcW w:w="1174" w:type="dxa"/>
            <w:tcBorders>
              <w:left w:val="single" w:sz="4" w:space="0" w:color="000000"/>
            </w:tcBorders>
            <w:shd w:val="clear" w:color="auto" w:fill="DFE695"/>
          </w:tcPr>
          <w:p>
            <w:pPr>
              <w:pStyle w:val="TableParagraph"/>
              <w:spacing w:line="150" w:lineRule="exact" w:before="111"/>
              <w:ind w:right="104"/>
              <w:jc w:val="right"/>
              <w:rPr>
                <w:sz w:val="14"/>
              </w:rPr>
            </w:pPr>
            <w:r>
              <w:rPr>
                <w:w w:val="95"/>
                <w:sz w:val="14"/>
              </w:rPr>
              <w:t>20%</w:t>
            </w:r>
          </w:p>
        </w:tc>
        <w:tc>
          <w:tcPr>
            <w:tcW w:w="1178" w:type="dxa"/>
            <w:tcBorders>
              <w:right w:val="single" w:sz="4" w:space="0" w:color="000000"/>
            </w:tcBorders>
            <w:shd w:val="clear" w:color="auto" w:fill="83C782"/>
          </w:tcPr>
          <w:p>
            <w:pPr>
              <w:pStyle w:val="TableParagraph"/>
              <w:spacing w:line="150" w:lineRule="exact" w:before="111"/>
              <w:ind w:right="103"/>
              <w:jc w:val="right"/>
              <w:rPr>
                <w:sz w:val="14"/>
              </w:rPr>
            </w:pPr>
            <w:r>
              <w:rPr>
                <w:w w:val="95"/>
                <w:sz w:val="14"/>
              </w:rPr>
              <w:t>80%</w:t>
            </w:r>
          </w:p>
        </w:tc>
        <w:tc>
          <w:tcPr>
            <w:tcW w:w="1174" w:type="dxa"/>
            <w:tcBorders>
              <w:left w:val="single" w:sz="4" w:space="0" w:color="000000"/>
            </w:tcBorders>
            <w:shd w:val="clear" w:color="auto" w:fill="FFEE9C"/>
          </w:tcPr>
          <w:p>
            <w:pPr>
              <w:pStyle w:val="TableParagraph"/>
              <w:spacing w:line="150" w:lineRule="exact" w:before="111"/>
              <w:ind w:right="106"/>
              <w:jc w:val="right"/>
              <w:rPr>
                <w:sz w:val="14"/>
              </w:rPr>
            </w:pPr>
            <w:r>
              <w:rPr>
                <w:w w:val="95"/>
                <w:sz w:val="14"/>
              </w:rPr>
              <w:t>0%</w:t>
            </w:r>
          </w:p>
        </w:tc>
        <w:tc>
          <w:tcPr>
            <w:tcW w:w="1180" w:type="dxa"/>
            <w:tcBorders>
              <w:right w:val="single" w:sz="4" w:space="0" w:color="000000"/>
            </w:tcBorders>
            <w:shd w:val="clear" w:color="auto" w:fill="62BD7A"/>
          </w:tcPr>
          <w:p>
            <w:pPr>
              <w:pStyle w:val="TableParagraph"/>
              <w:spacing w:line="150" w:lineRule="exact" w:before="111"/>
              <w:ind w:right="105"/>
              <w:jc w:val="right"/>
              <w:rPr>
                <w:sz w:val="14"/>
              </w:rPr>
            </w:pPr>
            <w:r>
              <w:rPr>
                <w:w w:val="95"/>
                <w:sz w:val="14"/>
              </w:rPr>
              <w:t>100%</w:t>
            </w:r>
          </w:p>
        </w:tc>
        <w:tc>
          <w:tcPr>
            <w:tcW w:w="1173" w:type="dxa"/>
            <w:tcBorders>
              <w:left w:val="single" w:sz="4" w:space="0" w:color="000000"/>
            </w:tcBorders>
            <w:shd w:val="clear" w:color="auto" w:fill="FFEE9C"/>
          </w:tcPr>
          <w:p>
            <w:pPr>
              <w:pStyle w:val="TableParagraph"/>
              <w:spacing w:line="150" w:lineRule="exact" w:before="111"/>
              <w:ind w:right="107"/>
              <w:jc w:val="right"/>
              <w:rPr>
                <w:sz w:val="14"/>
              </w:rPr>
            </w:pPr>
            <w:r>
              <w:rPr>
                <w:w w:val="95"/>
                <w:sz w:val="14"/>
              </w:rPr>
              <w:t>17%</w:t>
            </w:r>
          </w:p>
        </w:tc>
        <w:tc>
          <w:tcPr>
            <w:tcW w:w="1176" w:type="dxa"/>
            <w:shd w:val="clear" w:color="auto" w:fill="62BD7A"/>
          </w:tcPr>
          <w:p>
            <w:pPr>
              <w:pStyle w:val="TableParagraph"/>
              <w:spacing w:line="150" w:lineRule="exact" w:before="111"/>
              <w:ind w:right="106"/>
              <w:jc w:val="right"/>
              <w:rPr>
                <w:sz w:val="14"/>
              </w:rPr>
            </w:pPr>
            <w:r>
              <w:rPr>
                <w:w w:val="95"/>
                <w:sz w:val="14"/>
              </w:rPr>
              <w:t>83%</w:t>
            </w:r>
          </w:p>
        </w:tc>
      </w:tr>
      <w:tr>
        <w:trPr>
          <w:trHeight w:val="280" w:hRule="atLeast"/>
        </w:trPr>
        <w:tc>
          <w:tcPr>
            <w:tcW w:w="1910" w:type="dxa"/>
            <w:tcBorders>
              <w:right w:val="single" w:sz="4" w:space="0" w:color="000000"/>
            </w:tcBorders>
          </w:tcPr>
          <w:p>
            <w:pPr>
              <w:pStyle w:val="TableParagraph"/>
              <w:spacing w:line="150" w:lineRule="exact" w:before="111"/>
              <w:ind w:left="108"/>
              <w:rPr>
                <w:sz w:val="14"/>
              </w:rPr>
            </w:pPr>
            <w:r>
              <w:rPr>
                <w:sz w:val="14"/>
              </w:rPr>
              <w:t>DSDSATSIP</w:t>
            </w:r>
          </w:p>
        </w:tc>
        <w:tc>
          <w:tcPr>
            <w:tcW w:w="1174" w:type="dxa"/>
            <w:tcBorders>
              <w:left w:val="single" w:sz="4" w:space="0" w:color="000000"/>
            </w:tcBorders>
            <w:shd w:val="clear" w:color="auto" w:fill="CADF91"/>
          </w:tcPr>
          <w:p>
            <w:pPr>
              <w:pStyle w:val="TableParagraph"/>
              <w:spacing w:line="150" w:lineRule="exact" w:before="111"/>
              <w:ind w:right="104"/>
              <w:jc w:val="right"/>
              <w:rPr>
                <w:sz w:val="14"/>
              </w:rPr>
            </w:pPr>
            <w:r>
              <w:rPr>
                <w:w w:val="95"/>
                <w:sz w:val="14"/>
              </w:rPr>
              <w:t>33%</w:t>
            </w:r>
          </w:p>
        </w:tc>
        <w:tc>
          <w:tcPr>
            <w:tcW w:w="1178" w:type="dxa"/>
            <w:tcBorders>
              <w:right w:val="single" w:sz="4" w:space="0" w:color="000000"/>
            </w:tcBorders>
            <w:shd w:val="clear" w:color="auto" w:fill="96CF85"/>
          </w:tcPr>
          <w:p>
            <w:pPr>
              <w:pStyle w:val="TableParagraph"/>
              <w:spacing w:line="150" w:lineRule="exact" w:before="111"/>
              <w:ind w:right="103"/>
              <w:jc w:val="right"/>
              <w:rPr>
                <w:sz w:val="14"/>
              </w:rPr>
            </w:pPr>
            <w:r>
              <w:rPr>
                <w:w w:val="95"/>
                <w:sz w:val="14"/>
              </w:rPr>
              <w:t>67%</w:t>
            </w:r>
          </w:p>
        </w:tc>
        <w:tc>
          <w:tcPr>
            <w:tcW w:w="1174" w:type="dxa"/>
            <w:tcBorders>
              <w:left w:val="single" w:sz="4" w:space="0" w:color="000000"/>
            </w:tcBorders>
            <w:shd w:val="clear" w:color="auto" w:fill="FFEE9C"/>
          </w:tcPr>
          <w:p>
            <w:pPr>
              <w:pStyle w:val="TableParagraph"/>
              <w:spacing w:line="150" w:lineRule="exact" w:before="111"/>
              <w:ind w:right="106"/>
              <w:jc w:val="right"/>
              <w:rPr>
                <w:sz w:val="14"/>
              </w:rPr>
            </w:pPr>
            <w:r>
              <w:rPr>
                <w:w w:val="95"/>
                <w:sz w:val="14"/>
              </w:rPr>
              <w:t>0%</w:t>
            </w:r>
          </w:p>
        </w:tc>
        <w:tc>
          <w:tcPr>
            <w:tcW w:w="1180" w:type="dxa"/>
            <w:tcBorders>
              <w:right w:val="single" w:sz="4" w:space="0" w:color="000000"/>
            </w:tcBorders>
            <w:shd w:val="clear" w:color="auto" w:fill="62BD7A"/>
          </w:tcPr>
          <w:p>
            <w:pPr>
              <w:pStyle w:val="TableParagraph"/>
              <w:spacing w:line="150" w:lineRule="exact" w:before="111"/>
              <w:ind w:right="105"/>
              <w:jc w:val="right"/>
              <w:rPr>
                <w:sz w:val="14"/>
              </w:rPr>
            </w:pPr>
            <w:r>
              <w:rPr>
                <w:w w:val="95"/>
                <w:sz w:val="14"/>
              </w:rPr>
              <w:t>100%</w:t>
            </w:r>
          </w:p>
        </w:tc>
        <w:tc>
          <w:tcPr>
            <w:tcW w:w="1173" w:type="dxa"/>
            <w:tcBorders>
              <w:left w:val="single" w:sz="4" w:space="0" w:color="000000"/>
            </w:tcBorders>
            <w:shd w:val="clear" w:color="auto" w:fill="FFEE9C"/>
          </w:tcPr>
          <w:p>
            <w:pPr>
              <w:pStyle w:val="TableParagraph"/>
              <w:spacing w:line="150" w:lineRule="exact" w:before="111"/>
              <w:ind w:right="107"/>
              <w:jc w:val="right"/>
              <w:rPr>
                <w:sz w:val="14"/>
              </w:rPr>
            </w:pPr>
            <w:r>
              <w:rPr>
                <w:w w:val="95"/>
                <w:sz w:val="14"/>
              </w:rPr>
              <w:t>17%</w:t>
            </w:r>
          </w:p>
        </w:tc>
        <w:tc>
          <w:tcPr>
            <w:tcW w:w="1176" w:type="dxa"/>
            <w:shd w:val="clear" w:color="auto" w:fill="62BD7A"/>
          </w:tcPr>
          <w:p>
            <w:pPr>
              <w:pStyle w:val="TableParagraph"/>
              <w:spacing w:line="150" w:lineRule="exact" w:before="111"/>
              <w:ind w:right="106"/>
              <w:jc w:val="right"/>
              <w:rPr>
                <w:sz w:val="14"/>
              </w:rPr>
            </w:pPr>
            <w:r>
              <w:rPr>
                <w:w w:val="95"/>
                <w:sz w:val="14"/>
              </w:rPr>
              <w:t>83%</w:t>
            </w:r>
          </w:p>
        </w:tc>
      </w:tr>
      <w:tr>
        <w:trPr>
          <w:trHeight w:val="280" w:hRule="atLeast"/>
        </w:trPr>
        <w:tc>
          <w:tcPr>
            <w:tcW w:w="1910" w:type="dxa"/>
            <w:tcBorders>
              <w:right w:val="single" w:sz="4" w:space="0" w:color="000000"/>
            </w:tcBorders>
          </w:tcPr>
          <w:p>
            <w:pPr>
              <w:pStyle w:val="TableParagraph"/>
              <w:spacing w:line="150" w:lineRule="exact" w:before="111"/>
              <w:ind w:left="108"/>
              <w:rPr>
                <w:sz w:val="14"/>
              </w:rPr>
            </w:pPr>
            <w:r>
              <w:rPr>
                <w:sz w:val="14"/>
              </w:rPr>
              <w:t>DPC</w:t>
            </w:r>
          </w:p>
        </w:tc>
        <w:tc>
          <w:tcPr>
            <w:tcW w:w="1174" w:type="dxa"/>
            <w:tcBorders>
              <w:left w:val="single" w:sz="4" w:space="0" w:color="000000"/>
            </w:tcBorders>
            <w:shd w:val="clear" w:color="auto" w:fill="CADF91"/>
          </w:tcPr>
          <w:p>
            <w:pPr>
              <w:pStyle w:val="TableParagraph"/>
              <w:spacing w:line="150" w:lineRule="exact" w:before="111"/>
              <w:ind w:right="104"/>
              <w:jc w:val="right"/>
              <w:rPr>
                <w:sz w:val="14"/>
              </w:rPr>
            </w:pPr>
            <w:r>
              <w:rPr>
                <w:w w:val="95"/>
                <w:sz w:val="14"/>
              </w:rPr>
              <w:t>33%</w:t>
            </w:r>
          </w:p>
        </w:tc>
        <w:tc>
          <w:tcPr>
            <w:tcW w:w="1178" w:type="dxa"/>
            <w:tcBorders>
              <w:right w:val="single" w:sz="4" w:space="0" w:color="000000"/>
            </w:tcBorders>
            <w:shd w:val="clear" w:color="auto" w:fill="96CF85"/>
          </w:tcPr>
          <w:p>
            <w:pPr>
              <w:pStyle w:val="TableParagraph"/>
              <w:spacing w:line="150" w:lineRule="exact" w:before="111"/>
              <w:ind w:right="103"/>
              <w:jc w:val="right"/>
              <w:rPr>
                <w:sz w:val="14"/>
              </w:rPr>
            </w:pPr>
            <w:r>
              <w:rPr>
                <w:w w:val="95"/>
                <w:sz w:val="14"/>
              </w:rPr>
              <w:t>67%</w:t>
            </w:r>
          </w:p>
        </w:tc>
        <w:tc>
          <w:tcPr>
            <w:tcW w:w="1174" w:type="dxa"/>
            <w:tcBorders>
              <w:left w:val="single" w:sz="4" w:space="0" w:color="000000"/>
            </w:tcBorders>
            <w:shd w:val="clear" w:color="auto" w:fill="FFEE9C"/>
          </w:tcPr>
          <w:p>
            <w:pPr>
              <w:pStyle w:val="TableParagraph"/>
              <w:spacing w:line="150" w:lineRule="exact" w:before="111"/>
              <w:ind w:right="106"/>
              <w:jc w:val="right"/>
              <w:rPr>
                <w:sz w:val="14"/>
              </w:rPr>
            </w:pPr>
            <w:r>
              <w:rPr>
                <w:w w:val="95"/>
                <w:sz w:val="14"/>
              </w:rPr>
              <w:t>0%</w:t>
            </w:r>
          </w:p>
        </w:tc>
        <w:tc>
          <w:tcPr>
            <w:tcW w:w="1180" w:type="dxa"/>
            <w:tcBorders>
              <w:right w:val="single" w:sz="4" w:space="0" w:color="000000"/>
            </w:tcBorders>
            <w:shd w:val="clear" w:color="auto" w:fill="62BD7A"/>
          </w:tcPr>
          <w:p>
            <w:pPr>
              <w:pStyle w:val="TableParagraph"/>
              <w:spacing w:line="150" w:lineRule="exact" w:before="111"/>
              <w:ind w:right="105"/>
              <w:jc w:val="right"/>
              <w:rPr>
                <w:sz w:val="14"/>
              </w:rPr>
            </w:pPr>
            <w:r>
              <w:rPr>
                <w:w w:val="95"/>
                <w:sz w:val="14"/>
              </w:rPr>
              <w:t>100%</w:t>
            </w:r>
          </w:p>
        </w:tc>
        <w:tc>
          <w:tcPr>
            <w:tcW w:w="1173" w:type="dxa"/>
            <w:tcBorders>
              <w:left w:val="single" w:sz="4" w:space="0" w:color="000000"/>
            </w:tcBorders>
            <w:shd w:val="clear" w:color="auto" w:fill="EBE997"/>
          </w:tcPr>
          <w:p>
            <w:pPr>
              <w:pStyle w:val="TableParagraph"/>
              <w:spacing w:line="150" w:lineRule="exact" w:before="111"/>
              <w:ind w:right="107"/>
              <w:jc w:val="right"/>
              <w:rPr>
                <w:sz w:val="14"/>
              </w:rPr>
            </w:pPr>
            <w:r>
              <w:rPr>
                <w:w w:val="95"/>
                <w:sz w:val="14"/>
              </w:rPr>
              <w:t>25%</w:t>
            </w:r>
          </w:p>
        </w:tc>
        <w:tc>
          <w:tcPr>
            <w:tcW w:w="1176" w:type="dxa"/>
            <w:shd w:val="clear" w:color="auto" w:fill="77C580"/>
          </w:tcPr>
          <w:p>
            <w:pPr>
              <w:pStyle w:val="TableParagraph"/>
              <w:spacing w:line="150" w:lineRule="exact" w:before="111"/>
              <w:ind w:right="106"/>
              <w:jc w:val="right"/>
              <w:rPr>
                <w:sz w:val="14"/>
              </w:rPr>
            </w:pPr>
            <w:r>
              <w:rPr>
                <w:w w:val="95"/>
                <w:sz w:val="14"/>
              </w:rPr>
              <w:t>75%</w:t>
            </w:r>
          </w:p>
        </w:tc>
      </w:tr>
      <w:tr>
        <w:trPr>
          <w:trHeight w:val="280" w:hRule="atLeast"/>
        </w:trPr>
        <w:tc>
          <w:tcPr>
            <w:tcW w:w="1910" w:type="dxa"/>
            <w:tcBorders>
              <w:right w:val="single" w:sz="4" w:space="0" w:color="000000"/>
            </w:tcBorders>
          </w:tcPr>
          <w:p>
            <w:pPr>
              <w:pStyle w:val="TableParagraph"/>
              <w:spacing w:line="150" w:lineRule="exact" w:before="111"/>
              <w:ind w:left="108"/>
              <w:rPr>
                <w:sz w:val="14"/>
              </w:rPr>
            </w:pPr>
            <w:r>
              <w:rPr>
                <w:sz w:val="14"/>
              </w:rPr>
              <w:t>QH</w:t>
            </w:r>
          </w:p>
        </w:tc>
        <w:tc>
          <w:tcPr>
            <w:tcW w:w="1174" w:type="dxa"/>
            <w:tcBorders>
              <w:left w:val="single" w:sz="4" w:space="0" w:color="000000"/>
            </w:tcBorders>
            <w:shd w:val="clear" w:color="auto" w:fill="D7E293"/>
          </w:tcPr>
          <w:p>
            <w:pPr>
              <w:pStyle w:val="TableParagraph"/>
              <w:spacing w:line="150" w:lineRule="exact" w:before="111"/>
              <w:ind w:right="104"/>
              <w:jc w:val="right"/>
              <w:rPr>
                <w:sz w:val="14"/>
              </w:rPr>
            </w:pPr>
            <w:r>
              <w:rPr>
                <w:w w:val="95"/>
                <w:sz w:val="14"/>
              </w:rPr>
              <w:t>25%</w:t>
            </w:r>
          </w:p>
        </w:tc>
        <w:tc>
          <w:tcPr>
            <w:tcW w:w="1178" w:type="dxa"/>
            <w:tcBorders>
              <w:right w:val="single" w:sz="4" w:space="0" w:color="000000"/>
            </w:tcBorders>
            <w:shd w:val="clear" w:color="auto" w:fill="89CA84"/>
          </w:tcPr>
          <w:p>
            <w:pPr>
              <w:pStyle w:val="TableParagraph"/>
              <w:spacing w:line="150" w:lineRule="exact" w:before="111"/>
              <w:ind w:right="103"/>
              <w:jc w:val="right"/>
              <w:rPr>
                <w:sz w:val="14"/>
              </w:rPr>
            </w:pPr>
            <w:r>
              <w:rPr>
                <w:w w:val="95"/>
                <w:sz w:val="14"/>
              </w:rPr>
              <w:t>75%</w:t>
            </w:r>
          </w:p>
        </w:tc>
        <w:tc>
          <w:tcPr>
            <w:tcW w:w="1174" w:type="dxa"/>
            <w:tcBorders>
              <w:left w:val="single" w:sz="4" w:space="0" w:color="000000"/>
            </w:tcBorders>
            <w:shd w:val="clear" w:color="auto" w:fill="62BD7A"/>
          </w:tcPr>
          <w:p>
            <w:pPr>
              <w:pStyle w:val="TableParagraph"/>
              <w:spacing w:line="150" w:lineRule="exact" w:before="111"/>
              <w:ind w:right="106"/>
              <w:jc w:val="right"/>
              <w:rPr>
                <w:sz w:val="14"/>
              </w:rPr>
            </w:pPr>
            <w:r>
              <w:rPr>
                <w:w w:val="95"/>
                <w:sz w:val="14"/>
              </w:rPr>
              <w:t>100%</w:t>
            </w:r>
          </w:p>
        </w:tc>
        <w:tc>
          <w:tcPr>
            <w:tcW w:w="1180" w:type="dxa"/>
            <w:tcBorders>
              <w:right w:val="single" w:sz="4" w:space="0" w:color="000000"/>
            </w:tcBorders>
            <w:shd w:val="clear" w:color="auto" w:fill="FFEE9C"/>
          </w:tcPr>
          <w:p>
            <w:pPr>
              <w:pStyle w:val="TableParagraph"/>
              <w:spacing w:line="150" w:lineRule="exact" w:before="111"/>
              <w:ind w:right="105"/>
              <w:jc w:val="right"/>
              <w:rPr>
                <w:sz w:val="14"/>
              </w:rPr>
            </w:pPr>
            <w:r>
              <w:rPr>
                <w:w w:val="95"/>
                <w:sz w:val="14"/>
              </w:rPr>
              <w:t>0%</w:t>
            </w:r>
          </w:p>
        </w:tc>
        <w:tc>
          <w:tcPr>
            <w:tcW w:w="1173" w:type="dxa"/>
            <w:tcBorders>
              <w:left w:val="single" w:sz="4" w:space="0" w:color="000000"/>
            </w:tcBorders>
            <w:shd w:val="clear" w:color="auto" w:fill="B0D68B"/>
          </w:tcPr>
          <w:p>
            <w:pPr>
              <w:pStyle w:val="TableParagraph"/>
              <w:spacing w:line="150" w:lineRule="exact" w:before="111"/>
              <w:ind w:right="107"/>
              <w:jc w:val="right"/>
              <w:rPr>
                <w:sz w:val="14"/>
              </w:rPr>
            </w:pPr>
            <w:r>
              <w:rPr>
                <w:w w:val="95"/>
                <w:sz w:val="14"/>
              </w:rPr>
              <w:t>50%</w:t>
            </w:r>
          </w:p>
        </w:tc>
        <w:tc>
          <w:tcPr>
            <w:tcW w:w="1176" w:type="dxa"/>
            <w:shd w:val="clear" w:color="auto" w:fill="B0D68B"/>
          </w:tcPr>
          <w:p>
            <w:pPr>
              <w:pStyle w:val="TableParagraph"/>
              <w:spacing w:line="150" w:lineRule="exact" w:before="111"/>
              <w:ind w:right="106"/>
              <w:jc w:val="right"/>
              <w:rPr>
                <w:sz w:val="14"/>
              </w:rPr>
            </w:pPr>
            <w:r>
              <w:rPr>
                <w:w w:val="95"/>
                <w:sz w:val="14"/>
              </w:rPr>
              <w:t>50%</w:t>
            </w:r>
          </w:p>
        </w:tc>
      </w:tr>
      <w:tr>
        <w:trPr>
          <w:trHeight w:val="280" w:hRule="atLeast"/>
        </w:trPr>
        <w:tc>
          <w:tcPr>
            <w:tcW w:w="1910" w:type="dxa"/>
            <w:tcBorders>
              <w:right w:val="single" w:sz="4" w:space="0" w:color="000000"/>
            </w:tcBorders>
          </w:tcPr>
          <w:p>
            <w:pPr>
              <w:pStyle w:val="TableParagraph"/>
              <w:spacing w:line="150" w:lineRule="exact" w:before="111"/>
              <w:ind w:left="108"/>
              <w:rPr>
                <w:sz w:val="14"/>
              </w:rPr>
            </w:pPr>
            <w:r>
              <w:rPr>
                <w:sz w:val="14"/>
              </w:rPr>
              <w:t>Qld Treasury</w:t>
            </w:r>
          </w:p>
        </w:tc>
        <w:tc>
          <w:tcPr>
            <w:tcW w:w="1174" w:type="dxa"/>
            <w:tcBorders>
              <w:left w:val="single" w:sz="4" w:space="0" w:color="000000"/>
            </w:tcBorders>
            <w:shd w:val="clear" w:color="auto" w:fill="CADF91"/>
          </w:tcPr>
          <w:p>
            <w:pPr>
              <w:pStyle w:val="TableParagraph"/>
              <w:spacing w:line="150" w:lineRule="exact" w:before="111"/>
              <w:ind w:right="104"/>
              <w:jc w:val="right"/>
              <w:rPr>
                <w:sz w:val="14"/>
              </w:rPr>
            </w:pPr>
            <w:r>
              <w:rPr>
                <w:w w:val="95"/>
                <w:sz w:val="14"/>
              </w:rPr>
              <w:t>33%</w:t>
            </w:r>
          </w:p>
        </w:tc>
        <w:tc>
          <w:tcPr>
            <w:tcW w:w="1178" w:type="dxa"/>
            <w:tcBorders>
              <w:right w:val="single" w:sz="4" w:space="0" w:color="000000"/>
            </w:tcBorders>
            <w:shd w:val="clear" w:color="auto" w:fill="96CF85"/>
          </w:tcPr>
          <w:p>
            <w:pPr>
              <w:pStyle w:val="TableParagraph"/>
              <w:spacing w:line="150" w:lineRule="exact" w:before="111"/>
              <w:ind w:right="103"/>
              <w:jc w:val="right"/>
              <w:rPr>
                <w:sz w:val="14"/>
              </w:rPr>
            </w:pPr>
            <w:r>
              <w:rPr>
                <w:w w:val="95"/>
                <w:sz w:val="14"/>
              </w:rPr>
              <w:t>67%</w:t>
            </w:r>
          </w:p>
        </w:tc>
        <w:tc>
          <w:tcPr>
            <w:tcW w:w="1174" w:type="dxa"/>
            <w:tcBorders>
              <w:left w:val="single" w:sz="4" w:space="0" w:color="000000"/>
            </w:tcBorders>
            <w:shd w:val="clear" w:color="auto" w:fill="FFEE9C"/>
          </w:tcPr>
          <w:p>
            <w:pPr>
              <w:pStyle w:val="TableParagraph"/>
              <w:spacing w:line="150" w:lineRule="exact" w:before="111"/>
              <w:ind w:right="106"/>
              <w:jc w:val="right"/>
              <w:rPr>
                <w:sz w:val="14"/>
              </w:rPr>
            </w:pPr>
            <w:r>
              <w:rPr>
                <w:w w:val="95"/>
                <w:sz w:val="14"/>
              </w:rPr>
              <w:t>0%</w:t>
            </w:r>
          </w:p>
        </w:tc>
        <w:tc>
          <w:tcPr>
            <w:tcW w:w="1180" w:type="dxa"/>
            <w:tcBorders>
              <w:right w:val="single" w:sz="4" w:space="0" w:color="000000"/>
            </w:tcBorders>
            <w:shd w:val="clear" w:color="auto" w:fill="62BD7A"/>
          </w:tcPr>
          <w:p>
            <w:pPr>
              <w:pStyle w:val="TableParagraph"/>
              <w:spacing w:line="150" w:lineRule="exact" w:before="111"/>
              <w:ind w:right="105"/>
              <w:jc w:val="right"/>
              <w:rPr>
                <w:sz w:val="14"/>
              </w:rPr>
            </w:pPr>
            <w:r>
              <w:rPr>
                <w:w w:val="95"/>
                <w:sz w:val="14"/>
              </w:rPr>
              <w:t>100%</w:t>
            </w:r>
          </w:p>
        </w:tc>
        <w:tc>
          <w:tcPr>
            <w:tcW w:w="1173" w:type="dxa"/>
            <w:tcBorders>
              <w:left w:val="single" w:sz="4" w:space="0" w:color="000000"/>
            </w:tcBorders>
            <w:shd w:val="clear" w:color="auto" w:fill="EBE997"/>
          </w:tcPr>
          <w:p>
            <w:pPr>
              <w:pStyle w:val="TableParagraph"/>
              <w:spacing w:line="150" w:lineRule="exact" w:before="111"/>
              <w:ind w:right="107"/>
              <w:jc w:val="right"/>
              <w:rPr>
                <w:sz w:val="14"/>
              </w:rPr>
            </w:pPr>
            <w:r>
              <w:rPr>
                <w:w w:val="95"/>
                <w:sz w:val="14"/>
              </w:rPr>
              <w:t>25%</w:t>
            </w:r>
          </w:p>
        </w:tc>
        <w:tc>
          <w:tcPr>
            <w:tcW w:w="1176" w:type="dxa"/>
            <w:shd w:val="clear" w:color="auto" w:fill="77C580"/>
          </w:tcPr>
          <w:p>
            <w:pPr>
              <w:pStyle w:val="TableParagraph"/>
              <w:spacing w:line="150" w:lineRule="exact" w:before="111"/>
              <w:ind w:right="106"/>
              <w:jc w:val="right"/>
              <w:rPr>
                <w:sz w:val="14"/>
              </w:rPr>
            </w:pPr>
            <w:r>
              <w:rPr>
                <w:w w:val="95"/>
                <w:sz w:val="14"/>
              </w:rPr>
              <w:t>75%</w:t>
            </w:r>
          </w:p>
        </w:tc>
      </w:tr>
      <w:tr>
        <w:trPr>
          <w:trHeight w:val="280" w:hRule="atLeast"/>
        </w:trPr>
        <w:tc>
          <w:tcPr>
            <w:tcW w:w="1910" w:type="dxa"/>
            <w:tcBorders>
              <w:right w:val="single" w:sz="4" w:space="0" w:color="000000"/>
            </w:tcBorders>
          </w:tcPr>
          <w:p>
            <w:pPr>
              <w:pStyle w:val="TableParagraph"/>
              <w:spacing w:line="150" w:lineRule="exact" w:before="111"/>
              <w:ind w:left="108"/>
              <w:rPr>
                <w:sz w:val="14"/>
              </w:rPr>
            </w:pPr>
            <w:r>
              <w:rPr>
                <w:sz w:val="14"/>
              </w:rPr>
              <w:t>QATSICPP</w:t>
            </w:r>
          </w:p>
        </w:tc>
        <w:tc>
          <w:tcPr>
            <w:tcW w:w="1174" w:type="dxa"/>
            <w:tcBorders>
              <w:left w:val="single" w:sz="4" w:space="0" w:color="000000"/>
            </w:tcBorders>
            <w:shd w:val="clear" w:color="auto" w:fill="96CF85"/>
          </w:tcPr>
          <w:p>
            <w:pPr>
              <w:pStyle w:val="TableParagraph"/>
              <w:spacing w:line="150" w:lineRule="exact" w:before="111"/>
              <w:ind w:right="104"/>
              <w:jc w:val="right"/>
              <w:rPr>
                <w:sz w:val="14"/>
              </w:rPr>
            </w:pPr>
            <w:r>
              <w:rPr>
                <w:w w:val="95"/>
                <w:sz w:val="14"/>
              </w:rPr>
              <w:t>67%</w:t>
            </w:r>
          </w:p>
        </w:tc>
        <w:tc>
          <w:tcPr>
            <w:tcW w:w="1178" w:type="dxa"/>
            <w:tcBorders>
              <w:right w:val="single" w:sz="4" w:space="0" w:color="000000"/>
            </w:tcBorders>
            <w:shd w:val="clear" w:color="auto" w:fill="CADF91"/>
          </w:tcPr>
          <w:p>
            <w:pPr>
              <w:pStyle w:val="TableParagraph"/>
              <w:spacing w:line="150" w:lineRule="exact" w:before="111"/>
              <w:ind w:right="103"/>
              <w:jc w:val="right"/>
              <w:rPr>
                <w:sz w:val="14"/>
              </w:rPr>
            </w:pPr>
            <w:r>
              <w:rPr>
                <w:w w:val="95"/>
                <w:sz w:val="14"/>
              </w:rPr>
              <w:t>33%</w:t>
            </w:r>
          </w:p>
        </w:tc>
        <w:tc>
          <w:tcPr>
            <w:tcW w:w="1174" w:type="dxa"/>
            <w:tcBorders>
              <w:left w:val="single" w:sz="4" w:space="0" w:color="000000"/>
            </w:tcBorders>
            <w:shd w:val="clear" w:color="auto" w:fill="B0D68B"/>
          </w:tcPr>
          <w:p>
            <w:pPr>
              <w:pStyle w:val="TableParagraph"/>
              <w:spacing w:line="150" w:lineRule="exact" w:before="111"/>
              <w:ind w:right="106"/>
              <w:jc w:val="right"/>
              <w:rPr>
                <w:sz w:val="14"/>
              </w:rPr>
            </w:pPr>
            <w:r>
              <w:rPr>
                <w:w w:val="95"/>
                <w:sz w:val="14"/>
              </w:rPr>
              <w:t>50%</w:t>
            </w:r>
          </w:p>
        </w:tc>
        <w:tc>
          <w:tcPr>
            <w:tcW w:w="1180" w:type="dxa"/>
            <w:tcBorders>
              <w:right w:val="single" w:sz="4" w:space="0" w:color="000000"/>
            </w:tcBorders>
            <w:shd w:val="clear" w:color="auto" w:fill="B0D68B"/>
          </w:tcPr>
          <w:p>
            <w:pPr>
              <w:pStyle w:val="TableParagraph"/>
              <w:spacing w:line="150" w:lineRule="exact" w:before="111"/>
              <w:ind w:right="105"/>
              <w:jc w:val="right"/>
              <w:rPr>
                <w:sz w:val="14"/>
              </w:rPr>
            </w:pPr>
            <w:r>
              <w:rPr>
                <w:w w:val="95"/>
                <w:sz w:val="14"/>
              </w:rPr>
              <w:t>50%</w:t>
            </w:r>
          </w:p>
        </w:tc>
        <w:tc>
          <w:tcPr>
            <w:tcW w:w="1173" w:type="dxa"/>
            <w:tcBorders>
              <w:left w:val="single" w:sz="4" w:space="0" w:color="000000"/>
            </w:tcBorders>
            <w:shd w:val="clear" w:color="auto" w:fill="93CE85"/>
          </w:tcPr>
          <w:p>
            <w:pPr>
              <w:pStyle w:val="TableParagraph"/>
              <w:spacing w:line="150" w:lineRule="exact" w:before="111"/>
              <w:ind w:right="107"/>
              <w:jc w:val="right"/>
              <w:rPr>
                <w:sz w:val="14"/>
              </w:rPr>
            </w:pPr>
            <w:r>
              <w:rPr>
                <w:w w:val="95"/>
                <w:sz w:val="14"/>
              </w:rPr>
              <w:t>63%</w:t>
            </w:r>
          </w:p>
        </w:tc>
        <w:tc>
          <w:tcPr>
            <w:tcW w:w="1176" w:type="dxa"/>
            <w:shd w:val="clear" w:color="auto" w:fill="CFDF92"/>
          </w:tcPr>
          <w:p>
            <w:pPr>
              <w:pStyle w:val="TableParagraph"/>
              <w:spacing w:line="150" w:lineRule="exact" w:before="111"/>
              <w:ind w:right="106"/>
              <w:jc w:val="right"/>
              <w:rPr>
                <w:sz w:val="14"/>
              </w:rPr>
            </w:pPr>
            <w:r>
              <w:rPr>
                <w:w w:val="95"/>
                <w:sz w:val="14"/>
              </w:rPr>
              <w:t>38%</w:t>
            </w:r>
          </w:p>
        </w:tc>
      </w:tr>
      <w:tr>
        <w:trPr>
          <w:trHeight w:val="283" w:hRule="atLeast"/>
        </w:trPr>
        <w:tc>
          <w:tcPr>
            <w:tcW w:w="1910" w:type="dxa"/>
            <w:tcBorders>
              <w:right w:val="single" w:sz="4" w:space="0" w:color="000000"/>
            </w:tcBorders>
          </w:tcPr>
          <w:p>
            <w:pPr>
              <w:pStyle w:val="TableParagraph"/>
              <w:spacing w:line="150" w:lineRule="exact" w:before="113"/>
              <w:ind w:left="108"/>
              <w:rPr>
                <w:sz w:val="14"/>
              </w:rPr>
            </w:pPr>
            <w:r>
              <w:rPr>
                <w:sz w:val="14"/>
              </w:rPr>
              <w:t>QFCC</w:t>
            </w:r>
          </w:p>
        </w:tc>
        <w:tc>
          <w:tcPr>
            <w:tcW w:w="1174" w:type="dxa"/>
            <w:tcBorders>
              <w:left w:val="single" w:sz="4" w:space="0" w:color="000000"/>
            </w:tcBorders>
            <w:shd w:val="clear" w:color="auto" w:fill="D7E293"/>
          </w:tcPr>
          <w:p>
            <w:pPr>
              <w:pStyle w:val="TableParagraph"/>
              <w:spacing w:line="150" w:lineRule="exact" w:before="113"/>
              <w:ind w:right="104"/>
              <w:jc w:val="right"/>
              <w:rPr>
                <w:sz w:val="14"/>
              </w:rPr>
            </w:pPr>
            <w:r>
              <w:rPr>
                <w:w w:val="95"/>
                <w:sz w:val="14"/>
              </w:rPr>
              <w:t>25%</w:t>
            </w:r>
          </w:p>
        </w:tc>
        <w:tc>
          <w:tcPr>
            <w:tcW w:w="1178" w:type="dxa"/>
            <w:tcBorders>
              <w:right w:val="single" w:sz="4" w:space="0" w:color="000000"/>
            </w:tcBorders>
            <w:shd w:val="clear" w:color="auto" w:fill="89CA84"/>
          </w:tcPr>
          <w:p>
            <w:pPr>
              <w:pStyle w:val="TableParagraph"/>
              <w:spacing w:line="150" w:lineRule="exact" w:before="113"/>
              <w:ind w:right="103"/>
              <w:jc w:val="right"/>
              <w:rPr>
                <w:sz w:val="14"/>
              </w:rPr>
            </w:pPr>
            <w:r>
              <w:rPr>
                <w:w w:val="95"/>
                <w:sz w:val="14"/>
              </w:rPr>
              <w:t>75%</w:t>
            </w:r>
          </w:p>
        </w:tc>
        <w:tc>
          <w:tcPr>
            <w:tcW w:w="1174" w:type="dxa"/>
            <w:tcBorders>
              <w:left w:val="single" w:sz="4" w:space="0" w:color="000000"/>
            </w:tcBorders>
            <w:shd w:val="clear" w:color="auto" w:fill="FFEE9C"/>
          </w:tcPr>
          <w:p>
            <w:pPr>
              <w:pStyle w:val="TableParagraph"/>
              <w:spacing w:line="150" w:lineRule="exact" w:before="113"/>
              <w:ind w:right="106"/>
              <w:jc w:val="right"/>
              <w:rPr>
                <w:sz w:val="14"/>
              </w:rPr>
            </w:pPr>
            <w:r>
              <w:rPr>
                <w:w w:val="95"/>
                <w:sz w:val="14"/>
              </w:rPr>
              <w:t>0%</w:t>
            </w:r>
          </w:p>
        </w:tc>
        <w:tc>
          <w:tcPr>
            <w:tcW w:w="1180" w:type="dxa"/>
            <w:tcBorders>
              <w:right w:val="single" w:sz="4" w:space="0" w:color="000000"/>
            </w:tcBorders>
            <w:shd w:val="clear" w:color="auto" w:fill="62BD7A"/>
          </w:tcPr>
          <w:p>
            <w:pPr>
              <w:pStyle w:val="TableParagraph"/>
              <w:spacing w:line="150" w:lineRule="exact" w:before="113"/>
              <w:ind w:right="105"/>
              <w:jc w:val="right"/>
              <w:rPr>
                <w:sz w:val="14"/>
              </w:rPr>
            </w:pPr>
            <w:r>
              <w:rPr>
                <w:w w:val="95"/>
                <w:sz w:val="14"/>
              </w:rPr>
              <w:t>100%</w:t>
            </w:r>
          </w:p>
        </w:tc>
        <w:tc>
          <w:tcPr>
            <w:tcW w:w="1173" w:type="dxa"/>
            <w:tcBorders>
              <w:left w:val="single" w:sz="4" w:space="0" w:color="000000"/>
            </w:tcBorders>
            <w:shd w:val="clear" w:color="auto" w:fill="F8EC9B"/>
          </w:tcPr>
          <w:p>
            <w:pPr>
              <w:pStyle w:val="TableParagraph"/>
              <w:spacing w:line="150" w:lineRule="exact" w:before="113"/>
              <w:ind w:right="107"/>
              <w:jc w:val="right"/>
              <w:rPr>
                <w:sz w:val="14"/>
              </w:rPr>
            </w:pPr>
            <w:r>
              <w:rPr>
                <w:w w:val="95"/>
                <w:sz w:val="14"/>
              </w:rPr>
              <w:t>20%</w:t>
            </w:r>
          </w:p>
        </w:tc>
        <w:tc>
          <w:tcPr>
            <w:tcW w:w="1176" w:type="dxa"/>
            <w:shd w:val="clear" w:color="auto" w:fill="6BC17C"/>
          </w:tcPr>
          <w:p>
            <w:pPr>
              <w:pStyle w:val="TableParagraph"/>
              <w:spacing w:line="150" w:lineRule="exact" w:before="113"/>
              <w:ind w:right="106"/>
              <w:jc w:val="right"/>
              <w:rPr>
                <w:sz w:val="14"/>
              </w:rPr>
            </w:pPr>
            <w:r>
              <w:rPr>
                <w:w w:val="95"/>
                <w:sz w:val="14"/>
              </w:rPr>
              <w:t>80%</w:t>
            </w:r>
          </w:p>
        </w:tc>
      </w:tr>
      <w:tr>
        <w:trPr>
          <w:trHeight w:val="280" w:hRule="atLeast"/>
        </w:trPr>
        <w:tc>
          <w:tcPr>
            <w:tcW w:w="1910" w:type="dxa"/>
            <w:tcBorders>
              <w:right w:val="single" w:sz="4" w:space="0" w:color="000000"/>
            </w:tcBorders>
          </w:tcPr>
          <w:p>
            <w:pPr>
              <w:pStyle w:val="TableParagraph"/>
              <w:spacing w:line="150" w:lineRule="exact" w:before="111"/>
              <w:ind w:left="108"/>
              <w:rPr>
                <w:sz w:val="14"/>
              </w:rPr>
            </w:pPr>
            <w:r>
              <w:rPr>
                <w:sz w:val="14"/>
              </w:rPr>
              <w:t>Family Matters Qld</w:t>
            </w:r>
          </w:p>
        </w:tc>
        <w:tc>
          <w:tcPr>
            <w:tcW w:w="1174" w:type="dxa"/>
            <w:tcBorders>
              <w:left w:val="single" w:sz="4" w:space="0" w:color="000000"/>
            </w:tcBorders>
            <w:shd w:val="clear" w:color="auto" w:fill="A1D288"/>
          </w:tcPr>
          <w:p>
            <w:pPr>
              <w:pStyle w:val="TableParagraph"/>
              <w:spacing w:line="150" w:lineRule="exact" w:before="111"/>
              <w:ind w:right="104"/>
              <w:jc w:val="right"/>
              <w:rPr>
                <w:sz w:val="14"/>
              </w:rPr>
            </w:pPr>
            <w:r>
              <w:rPr>
                <w:w w:val="95"/>
                <w:sz w:val="14"/>
              </w:rPr>
              <w:t>60%</w:t>
            </w:r>
          </w:p>
        </w:tc>
        <w:tc>
          <w:tcPr>
            <w:tcW w:w="1178" w:type="dxa"/>
            <w:tcBorders>
              <w:right w:val="single" w:sz="4" w:space="0" w:color="000000"/>
            </w:tcBorders>
            <w:shd w:val="clear" w:color="auto" w:fill="C1DC8F"/>
          </w:tcPr>
          <w:p>
            <w:pPr>
              <w:pStyle w:val="TableParagraph"/>
              <w:spacing w:line="150" w:lineRule="exact" w:before="111"/>
              <w:ind w:right="103"/>
              <w:jc w:val="right"/>
              <w:rPr>
                <w:sz w:val="14"/>
              </w:rPr>
            </w:pPr>
            <w:r>
              <w:rPr>
                <w:w w:val="95"/>
                <w:sz w:val="14"/>
              </w:rPr>
              <w:t>40%</w:t>
            </w:r>
          </w:p>
        </w:tc>
        <w:tc>
          <w:tcPr>
            <w:tcW w:w="1174" w:type="dxa"/>
            <w:tcBorders>
              <w:left w:val="single" w:sz="4" w:space="0" w:color="000000"/>
            </w:tcBorders>
            <w:shd w:val="clear" w:color="auto" w:fill="96CF85"/>
          </w:tcPr>
          <w:p>
            <w:pPr>
              <w:pStyle w:val="TableParagraph"/>
              <w:spacing w:line="150" w:lineRule="exact" w:before="111"/>
              <w:ind w:right="106"/>
              <w:jc w:val="right"/>
              <w:rPr>
                <w:sz w:val="14"/>
              </w:rPr>
            </w:pPr>
            <w:r>
              <w:rPr>
                <w:w w:val="95"/>
                <w:sz w:val="14"/>
              </w:rPr>
              <w:t>67%</w:t>
            </w:r>
          </w:p>
        </w:tc>
        <w:tc>
          <w:tcPr>
            <w:tcW w:w="1180" w:type="dxa"/>
            <w:tcBorders>
              <w:right w:val="single" w:sz="4" w:space="0" w:color="000000"/>
            </w:tcBorders>
            <w:shd w:val="clear" w:color="auto" w:fill="CADF91"/>
          </w:tcPr>
          <w:p>
            <w:pPr>
              <w:pStyle w:val="TableParagraph"/>
              <w:spacing w:line="150" w:lineRule="exact" w:before="111"/>
              <w:ind w:right="105"/>
              <w:jc w:val="right"/>
              <w:rPr>
                <w:sz w:val="14"/>
              </w:rPr>
            </w:pPr>
            <w:r>
              <w:rPr>
                <w:w w:val="95"/>
                <w:sz w:val="14"/>
              </w:rPr>
              <w:t>33%</w:t>
            </w:r>
          </w:p>
        </w:tc>
        <w:tc>
          <w:tcPr>
            <w:tcW w:w="1173" w:type="dxa"/>
            <w:tcBorders>
              <w:left w:val="single" w:sz="4" w:space="0" w:color="000000"/>
            </w:tcBorders>
            <w:shd w:val="clear" w:color="auto" w:fill="93CE85"/>
          </w:tcPr>
          <w:p>
            <w:pPr>
              <w:pStyle w:val="TableParagraph"/>
              <w:spacing w:line="150" w:lineRule="exact" w:before="111"/>
              <w:ind w:right="107"/>
              <w:jc w:val="right"/>
              <w:rPr>
                <w:sz w:val="14"/>
              </w:rPr>
            </w:pPr>
            <w:r>
              <w:rPr>
                <w:w w:val="95"/>
                <w:sz w:val="14"/>
              </w:rPr>
              <w:t>63%</w:t>
            </w:r>
          </w:p>
        </w:tc>
        <w:tc>
          <w:tcPr>
            <w:tcW w:w="1176" w:type="dxa"/>
            <w:shd w:val="clear" w:color="auto" w:fill="CFDF92"/>
          </w:tcPr>
          <w:p>
            <w:pPr>
              <w:pStyle w:val="TableParagraph"/>
              <w:spacing w:line="150" w:lineRule="exact" w:before="111"/>
              <w:ind w:right="106"/>
              <w:jc w:val="right"/>
              <w:rPr>
                <w:sz w:val="14"/>
              </w:rPr>
            </w:pPr>
            <w:r>
              <w:rPr>
                <w:w w:val="95"/>
                <w:sz w:val="14"/>
              </w:rPr>
              <w:t>38%</w:t>
            </w:r>
          </w:p>
        </w:tc>
      </w:tr>
      <w:tr>
        <w:trPr>
          <w:trHeight w:val="280" w:hRule="atLeast"/>
        </w:trPr>
        <w:tc>
          <w:tcPr>
            <w:tcW w:w="1910" w:type="dxa"/>
            <w:tcBorders>
              <w:right w:val="single" w:sz="4" w:space="0" w:color="000000"/>
            </w:tcBorders>
          </w:tcPr>
          <w:p>
            <w:pPr>
              <w:pStyle w:val="TableParagraph"/>
              <w:spacing w:line="150" w:lineRule="exact" w:before="111"/>
              <w:ind w:left="108"/>
              <w:rPr>
                <w:sz w:val="14"/>
              </w:rPr>
            </w:pPr>
            <w:r>
              <w:rPr>
                <w:sz w:val="14"/>
              </w:rPr>
              <w:t>Total</w:t>
            </w:r>
          </w:p>
        </w:tc>
        <w:tc>
          <w:tcPr>
            <w:tcW w:w="1174" w:type="dxa"/>
            <w:tcBorders>
              <w:left w:val="single" w:sz="4" w:space="0" w:color="000000"/>
            </w:tcBorders>
            <w:shd w:val="clear" w:color="auto" w:fill="B7D98D"/>
          </w:tcPr>
          <w:p>
            <w:pPr>
              <w:pStyle w:val="TableParagraph"/>
              <w:spacing w:line="150" w:lineRule="exact" w:before="111"/>
              <w:ind w:right="104"/>
              <w:jc w:val="right"/>
              <w:rPr>
                <w:sz w:val="14"/>
              </w:rPr>
            </w:pPr>
            <w:r>
              <w:rPr>
                <w:w w:val="95"/>
                <w:sz w:val="14"/>
              </w:rPr>
              <w:t>47%</w:t>
            </w:r>
          </w:p>
        </w:tc>
        <w:tc>
          <w:tcPr>
            <w:tcW w:w="1178" w:type="dxa"/>
            <w:tcBorders>
              <w:right w:val="single" w:sz="4" w:space="0" w:color="000000"/>
            </w:tcBorders>
            <w:shd w:val="clear" w:color="auto" w:fill="ACD48A"/>
          </w:tcPr>
          <w:p>
            <w:pPr>
              <w:pStyle w:val="TableParagraph"/>
              <w:spacing w:line="150" w:lineRule="exact" w:before="111"/>
              <w:ind w:right="103"/>
              <w:jc w:val="right"/>
              <w:rPr>
                <w:sz w:val="14"/>
              </w:rPr>
            </w:pPr>
            <w:r>
              <w:rPr>
                <w:w w:val="95"/>
                <w:sz w:val="14"/>
              </w:rPr>
              <w:t>53%</w:t>
            </w:r>
          </w:p>
        </w:tc>
        <w:tc>
          <w:tcPr>
            <w:tcW w:w="1174" w:type="dxa"/>
            <w:tcBorders>
              <w:left w:val="single" w:sz="4" w:space="0" w:color="000000"/>
            </w:tcBorders>
            <w:shd w:val="clear" w:color="auto" w:fill="CEDF92"/>
          </w:tcPr>
          <w:p>
            <w:pPr>
              <w:pStyle w:val="TableParagraph"/>
              <w:spacing w:line="150" w:lineRule="exact" w:before="111"/>
              <w:ind w:right="106"/>
              <w:jc w:val="right"/>
              <w:rPr>
                <w:sz w:val="14"/>
              </w:rPr>
            </w:pPr>
            <w:r>
              <w:rPr>
                <w:w w:val="95"/>
                <w:sz w:val="14"/>
              </w:rPr>
              <w:t>32%</w:t>
            </w:r>
          </w:p>
        </w:tc>
        <w:tc>
          <w:tcPr>
            <w:tcW w:w="1180" w:type="dxa"/>
            <w:tcBorders>
              <w:right w:val="single" w:sz="4" w:space="0" w:color="000000"/>
            </w:tcBorders>
            <w:shd w:val="clear" w:color="auto" w:fill="94CE85"/>
          </w:tcPr>
          <w:p>
            <w:pPr>
              <w:pStyle w:val="TableParagraph"/>
              <w:spacing w:line="150" w:lineRule="exact" w:before="111"/>
              <w:ind w:right="105"/>
              <w:jc w:val="right"/>
              <w:rPr>
                <w:sz w:val="14"/>
              </w:rPr>
            </w:pPr>
            <w:r>
              <w:rPr>
                <w:w w:val="95"/>
                <w:sz w:val="14"/>
              </w:rPr>
              <w:t>68%</w:t>
            </w:r>
          </w:p>
        </w:tc>
        <w:tc>
          <w:tcPr>
            <w:tcW w:w="1173" w:type="dxa"/>
            <w:tcBorders>
              <w:left w:val="single" w:sz="4" w:space="0" w:color="000000"/>
            </w:tcBorders>
            <w:shd w:val="clear" w:color="auto" w:fill="C5DD90"/>
          </w:tcPr>
          <w:p>
            <w:pPr>
              <w:pStyle w:val="TableParagraph"/>
              <w:spacing w:line="150" w:lineRule="exact" w:before="111"/>
              <w:ind w:right="107"/>
              <w:jc w:val="right"/>
              <w:rPr>
                <w:sz w:val="14"/>
              </w:rPr>
            </w:pPr>
            <w:r>
              <w:rPr>
                <w:w w:val="95"/>
                <w:sz w:val="14"/>
              </w:rPr>
              <w:t>42%</w:t>
            </w:r>
          </w:p>
        </w:tc>
        <w:tc>
          <w:tcPr>
            <w:tcW w:w="1176" w:type="dxa"/>
            <w:shd w:val="clear" w:color="auto" w:fill="9ED187"/>
          </w:tcPr>
          <w:p>
            <w:pPr>
              <w:pStyle w:val="TableParagraph"/>
              <w:spacing w:line="150" w:lineRule="exact" w:before="111"/>
              <w:ind w:right="106"/>
              <w:jc w:val="right"/>
              <w:rPr>
                <w:sz w:val="14"/>
              </w:rPr>
            </w:pPr>
            <w:r>
              <w:rPr>
                <w:w w:val="95"/>
                <w:sz w:val="14"/>
              </w:rPr>
              <w:t>58%</w:t>
            </w:r>
          </w:p>
        </w:tc>
      </w:tr>
    </w:tbl>
    <w:p>
      <w:pPr>
        <w:pStyle w:val="BodyText"/>
        <w:rPr>
          <w:sz w:val="20"/>
        </w:rPr>
      </w:pPr>
    </w:p>
    <w:p>
      <w:pPr>
        <w:pStyle w:val="BodyText"/>
        <w:spacing w:before="6"/>
        <w:rPr>
          <w:sz w:val="17"/>
        </w:rPr>
      </w:pPr>
    </w:p>
    <w:p>
      <w:pPr>
        <w:spacing w:before="0"/>
        <w:ind w:left="300" w:right="0" w:firstLine="0"/>
        <w:jc w:val="both"/>
        <w:rPr>
          <w:sz w:val="16"/>
        </w:rPr>
      </w:pPr>
      <w:r>
        <w:rPr>
          <w:color w:val="75787A"/>
          <w:sz w:val="16"/>
        </w:rPr>
        <w:t>Source: Deloitte Network Analysis Survey 2022 (n=23)</w:t>
      </w:r>
    </w:p>
    <w:p>
      <w:pPr>
        <w:spacing w:line="297" w:lineRule="auto" w:before="46"/>
        <w:ind w:left="300" w:right="931" w:firstLine="0"/>
        <w:jc w:val="left"/>
        <w:rPr>
          <w:sz w:val="16"/>
        </w:rPr>
      </w:pPr>
      <w:r>
        <w:rPr>
          <w:color w:val="75787A"/>
          <w:sz w:val="16"/>
        </w:rPr>
        <w:t>Note: % represents the proportion of responses for structured versus ad-hoc meetings of the total responses for each system stakeholder.</w:t>
      </w:r>
    </w:p>
    <w:p>
      <w:pPr>
        <w:spacing w:after="0" w:line="297" w:lineRule="auto"/>
        <w:jc w:val="left"/>
        <w:rPr>
          <w:sz w:val="16"/>
        </w:rPr>
        <w:sectPr>
          <w:pgSz w:w="11910" w:h="16840"/>
          <w:pgMar w:header="650" w:footer="420" w:top="1340" w:bottom="620" w:left="1140" w:right="700"/>
        </w:sectPr>
      </w:pPr>
    </w:p>
    <w:p>
      <w:pPr>
        <w:pStyle w:val="Heading4"/>
        <w:numPr>
          <w:ilvl w:val="2"/>
          <w:numId w:val="32"/>
        </w:numPr>
        <w:tabs>
          <w:tab w:pos="1320" w:val="left" w:leader="none"/>
          <w:tab w:pos="1321" w:val="left" w:leader="none"/>
        </w:tabs>
        <w:spacing w:line="240" w:lineRule="auto" w:before="109" w:after="0"/>
        <w:ind w:left="1320" w:right="0" w:hanging="1021"/>
        <w:jc w:val="left"/>
      </w:pPr>
      <w:bookmarkStart w:name="_bookmark59" w:id="94"/>
      <w:bookmarkEnd w:id="94"/>
      <w:r>
        <w:rPr>
          <w:b w:val="0"/>
        </w:rPr>
      </w:r>
      <w:bookmarkStart w:name="_bookmark59" w:id="95"/>
      <w:bookmarkEnd w:id="95"/>
      <w:r>
        <w:rPr/>
        <w:t>Na</w:t>
      </w:r>
      <w:r>
        <w:rPr/>
        <w:t>ture of collaboration between system</w:t>
      </w:r>
      <w:r>
        <w:rPr>
          <w:spacing w:val="-5"/>
        </w:rPr>
        <w:t> </w:t>
      </w:r>
      <w:r>
        <w:rPr/>
        <w:t>stakeholders</w:t>
      </w:r>
    </w:p>
    <w:p>
      <w:pPr>
        <w:spacing w:line="264" w:lineRule="auto" w:before="21"/>
        <w:ind w:left="300" w:right="1547" w:firstLine="0"/>
        <w:jc w:val="left"/>
        <w:rPr>
          <w:b/>
          <w:sz w:val="18"/>
        </w:rPr>
      </w:pPr>
      <w:r>
        <w:rPr>
          <w:b/>
          <w:color w:val="0096A9"/>
          <w:sz w:val="18"/>
        </w:rPr>
        <w:t>Stakeholders mainly collaborate with others by sharing data and/or information, participating in knowledge transfer and/or sharing and sharing resources.</w:t>
      </w:r>
    </w:p>
    <w:p>
      <w:pPr>
        <w:pStyle w:val="BodyText"/>
        <w:spacing w:line="264" w:lineRule="auto" w:before="169"/>
        <w:ind w:left="300" w:right="727"/>
      </w:pPr>
      <w:r>
        <w:rPr/>
        <w:t>Survey respondents were asked to identify the types of activities that were undertaken in collaboration with other stakeholders. The most frequently reported types of activities were data/information sharing, knowledge transfer/sharing and sharing resources (accounting for 19 per cent, 16 per cent and 16 per cent of overall responses respectively) </w:t>
      </w:r>
      <w:hyperlink w:history="true" w:anchor="_bookmark60">
        <w:r>
          <w:rPr/>
          <w:t>(Table 4.5</w:t>
        </w:r>
      </w:hyperlink>
      <w:r>
        <w:rPr/>
        <w:t>).</w:t>
      </w:r>
    </w:p>
    <w:p>
      <w:pPr>
        <w:pStyle w:val="BodyText"/>
        <w:spacing w:line="264" w:lineRule="auto" w:before="168"/>
        <w:ind w:left="300" w:right="814"/>
      </w:pPr>
      <w:r>
        <w:rPr/>
        <w:t>The least commonly reported activities collaborated on included shared funding/new funding models and integrated service planning (accounting for 5 per cent and 10 per cent of overall responses respectively). The stakeholder interviews and discussion at the workshops emphasised that changes to commissioning processes and funding models are key areas for change if power is to be shifted to ACCOs and the community. Integrated service planning and placed based approaches were also noted as critical elements to ensuring that Aboriginal and Torres Strait Islander children, young people and families have access to services that meet their needs.</w:t>
      </w:r>
    </w:p>
    <w:p>
      <w:pPr>
        <w:pStyle w:val="BodyText"/>
        <w:spacing w:before="5"/>
        <w:rPr>
          <w:sz w:val="20"/>
        </w:rPr>
      </w:pPr>
    </w:p>
    <w:p>
      <w:pPr>
        <w:spacing w:line="278" w:lineRule="auto" w:before="1"/>
        <w:ind w:left="300" w:right="978" w:firstLine="0"/>
        <w:jc w:val="left"/>
        <w:rPr>
          <w:sz w:val="17"/>
        </w:rPr>
      </w:pPr>
      <w:bookmarkStart w:name="_bookmark60" w:id="96"/>
      <w:bookmarkEnd w:id="96"/>
      <w:r>
        <w:rPr/>
      </w:r>
      <w:r>
        <w:rPr>
          <w:color w:val="75787A"/>
          <w:sz w:val="17"/>
        </w:rPr>
        <w:t>Table 4.5 Proportion of responses for each activity that DCYJMA and ACCO respondents collaborate on with other system stakeholders</w:t>
      </w:r>
    </w:p>
    <w:p>
      <w:pPr>
        <w:pStyle w:val="BodyText"/>
        <w:rPr>
          <w:sz w:val="17"/>
        </w:rPr>
      </w:pPr>
    </w:p>
    <w:tbl>
      <w:tblPr>
        <w:tblW w:w="0" w:type="auto"/>
        <w:jc w:val="left"/>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3"/>
        <w:gridCol w:w="1241"/>
        <w:gridCol w:w="1244"/>
        <w:gridCol w:w="1241"/>
      </w:tblGrid>
      <w:tr>
        <w:trPr>
          <w:trHeight w:val="256" w:hRule="atLeast"/>
        </w:trPr>
        <w:tc>
          <w:tcPr>
            <w:tcW w:w="5483" w:type="dxa"/>
            <w:tcBorders>
              <w:bottom w:val="single" w:sz="4" w:space="0" w:color="000000"/>
              <w:right w:val="single" w:sz="4" w:space="0" w:color="000000"/>
            </w:tcBorders>
          </w:tcPr>
          <w:p>
            <w:pPr>
              <w:pStyle w:val="TableParagraph"/>
              <w:spacing w:before="44"/>
              <w:ind w:left="108"/>
              <w:rPr>
                <w:b/>
                <w:sz w:val="14"/>
              </w:rPr>
            </w:pPr>
            <w:r>
              <w:rPr>
                <w:b/>
                <w:sz w:val="14"/>
              </w:rPr>
              <w:t>Activities collaborated on with system stakeholders</w:t>
            </w:r>
          </w:p>
        </w:tc>
        <w:tc>
          <w:tcPr>
            <w:tcW w:w="1241" w:type="dxa"/>
            <w:tcBorders>
              <w:left w:val="single" w:sz="4" w:space="0" w:color="000000"/>
              <w:bottom w:val="single" w:sz="4" w:space="0" w:color="000000"/>
            </w:tcBorders>
            <w:shd w:val="clear" w:color="auto" w:fill="89DFFF"/>
          </w:tcPr>
          <w:p>
            <w:pPr>
              <w:pStyle w:val="TableParagraph"/>
              <w:spacing w:before="44"/>
              <w:ind w:left="294"/>
              <w:rPr>
                <w:b/>
                <w:sz w:val="14"/>
              </w:rPr>
            </w:pPr>
            <w:r>
              <w:rPr>
                <w:b/>
                <w:color w:val="00506E"/>
                <w:sz w:val="14"/>
              </w:rPr>
              <w:t>DCYJMA</w:t>
            </w:r>
          </w:p>
        </w:tc>
        <w:tc>
          <w:tcPr>
            <w:tcW w:w="1244" w:type="dxa"/>
            <w:tcBorders>
              <w:bottom w:val="single" w:sz="4" w:space="0" w:color="000000"/>
            </w:tcBorders>
            <w:shd w:val="clear" w:color="auto" w:fill="51CFFF"/>
          </w:tcPr>
          <w:p>
            <w:pPr>
              <w:pStyle w:val="TableParagraph"/>
              <w:spacing w:before="44"/>
              <w:ind w:left="364"/>
              <w:rPr>
                <w:b/>
                <w:sz w:val="14"/>
              </w:rPr>
            </w:pPr>
            <w:r>
              <w:rPr>
                <w:b/>
                <w:color w:val="00506E"/>
                <w:sz w:val="14"/>
              </w:rPr>
              <w:t>ACCOs</w:t>
            </w:r>
          </w:p>
        </w:tc>
        <w:tc>
          <w:tcPr>
            <w:tcW w:w="1241" w:type="dxa"/>
            <w:tcBorders>
              <w:bottom w:val="single" w:sz="4" w:space="0" w:color="000000"/>
            </w:tcBorders>
            <w:shd w:val="clear" w:color="auto" w:fill="00506E"/>
          </w:tcPr>
          <w:p>
            <w:pPr>
              <w:pStyle w:val="TableParagraph"/>
              <w:spacing w:before="44"/>
              <w:ind w:left="402" w:right="402"/>
              <w:jc w:val="center"/>
              <w:rPr>
                <w:b/>
                <w:sz w:val="14"/>
              </w:rPr>
            </w:pPr>
            <w:r>
              <w:rPr>
                <w:b/>
                <w:color w:val="C4EEFF"/>
                <w:sz w:val="14"/>
              </w:rPr>
              <w:t>Total</w:t>
            </w:r>
          </w:p>
        </w:tc>
      </w:tr>
      <w:tr>
        <w:trPr>
          <w:trHeight w:val="258" w:hRule="atLeast"/>
        </w:trPr>
        <w:tc>
          <w:tcPr>
            <w:tcW w:w="5483" w:type="dxa"/>
            <w:tcBorders>
              <w:top w:val="single" w:sz="4" w:space="0" w:color="000000"/>
              <w:right w:val="single" w:sz="4" w:space="0" w:color="000000"/>
            </w:tcBorders>
          </w:tcPr>
          <w:p>
            <w:pPr>
              <w:pStyle w:val="TableParagraph"/>
              <w:spacing w:line="150" w:lineRule="exact" w:before="89"/>
              <w:ind w:left="108"/>
              <w:rPr>
                <w:sz w:val="14"/>
              </w:rPr>
            </w:pPr>
            <w:r>
              <w:rPr>
                <w:sz w:val="14"/>
              </w:rPr>
              <w:t>Undertaken integrated service planning</w:t>
            </w:r>
          </w:p>
        </w:tc>
        <w:tc>
          <w:tcPr>
            <w:tcW w:w="1241" w:type="dxa"/>
            <w:tcBorders>
              <w:top w:val="single" w:sz="4" w:space="0" w:color="000000"/>
              <w:left w:val="single" w:sz="4" w:space="0" w:color="000000"/>
            </w:tcBorders>
            <w:shd w:val="clear" w:color="auto" w:fill="D7E293"/>
          </w:tcPr>
          <w:p>
            <w:pPr>
              <w:pStyle w:val="TableParagraph"/>
              <w:spacing w:line="150" w:lineRule="exact" w:before="89"/>
              <w:ind w:right="105"/>
              <w:jc w:val="right"/>
              <w:rPr>
                <w:sz w:val="14"/>
              </w:rPr>
            </w:pPr>
            <w:r>
              <w:rPr>
                <w:w w:val="95"/>
                <w:sz w:val="14"/>
              </w:rPr>
              <w:t>11%</w:t>
            </w:r>
          </w:p>
        </w:tc>
        <w:tc>
          <w:tcPr>
            <w:tcW w:w="1244" w:type="dxa"/>
            <w:tcBorders>
              <w:top w:val="single" w:sz="4" w:space="0" w:color="000000"/>
            </w:tcBorders>
            <w:shd w:val="clear" w:color="auto" w:fill="DEE494"/>
          </w:tcPr>
          <w:p>
            <w:pPr>
              <w:pStyle w:val="TableParagraph"/>
              <w:spacing w:line="150" w:lineRule="exact" w:before="89"/>
              <w:ind w:right="107"/>
              <w:jc w:val="right"/>
              <w:rPr>
                <w:sz w:val="14"/>
              </w:rPr>
            </w:pPr>
            <w:r>
              <w:rPr>
                <w:sz w:val="14"/>
              </w:rPr>
              <w:t>9%</w:t>
            </w:r>
          </w:p>
        </w:tc>
        <w:tc>
          <w:tcPr>
            <w:tcW w:w="1241" w:type="dxa"/>
            <w:tcBorders>
              <w:top w:val="single" w:sz="4" w:space="0" w:color="000000"/>
            </w:tcBorders>
            <w:shd w:val="clear" w:color="auto" w:fill="C8DE91"/>
          </w:tcPr>
          <w:p>
            <w:pPr>
              <w:pStyle w:val="TableParagraph"/>
              <w:spacing w:line="150" w:lineRule="exact" w:before="89"/>
              <w:ind w:right="105"/>
              <w:jc w:val="right"/>
              <w:rPr>
                <w:sz w:val="14"/>
              </w:rPr>
            </w:pPr>
            <w:r>
              <w:rPr>
                <w:w w:val="95"/>
                <w:sz w:val="14"/>
              </w:rPr>
              <w:t>10%</w:t>
            </w:r>
          </w:p>
        </w:tc>
      </w:tr>
      <w:tr>
        <w:trPr>
          <w:trHeight w:val="256" w:hRule="atLeast"/>
        </w:trPr>
        <w:tc>
          <w:tcPr>
            <w:tcW w:w="5483" w:type="dxa"/>
            <w:tcBorders>
              <w:right w:val="single" w:sz="4" w:space="0" w:color="000000"/>
            </w:tcBorders>
          </w:tcPr>
          <w:p>
            <w:pPr>
              <w:pStyle w:val="TableParagraph"/>
              <w:spacing w:line="150" w:lineRule="exact" w:before="87"/>
              <w:ind w:left="108"/>
              <w:rPr>
                <w:sz w:val="14"/>
              </w:rPr>
            </w:pPr>
            <w:r>
              <w:rPr>
                <w:sz w:val="14"/>
              </w:rPr>
              <w:t>Shared data and/or information</w:t>
            </w:r>
          </w:p>
        </w:tc>
        <w:tc>
          <w:tcPr>
            <w:tcW w:w="1241" w:type="dxa"/>
            <w:tcBorders>
              <w:left w:val="single" w:sz="4" w:space="0" w:color="000000"/>
            </w:tcBorders>
            <w:shd w:val="clear" w:color="auto" w:fill="62BD7A"/>
          </w:tcPr>
          <w:p>
            <w:pPr>
              <w:pStyle w:val="TableParagraph"/>
              <w:spacing w:line="150" w:lineRule="exact" w:before="87"/>
              <w:ind w:right="105"/>
              <w:jc w:val="right"/>
              <w:rPr>
                <w:sz w:val="14"/>
              </w:rPr>
            </w:pPr>
            <w:r>
              <w:rPr>
                <w:w w:val="95"/>
                <w:sz w:val="14"/>
              </w:rPr>
              <w:t>27%</w:t>
            </w:r>
          </w:p>
        </w:tc>
        <w:tc>
          <w:tcPr>
            <w:tcW w:w="1244" w:type="dxa"/>
            <w:shd w:val="clear" w:color="auto" w:fill="D2E092"/>
          </w:tcPr>
          <w:p>
            <w:pPr>
              <w:pStyle w:val="TableParagraph"/>
              <w:spacing w:line="150" w:lineRule="exact" w:before="87"/>
              <w:ind w:right="107"/>
              <w:jc w:val="right"/>
              <w:rPr>
                <w:sz w:val="14"/>
              </w:rPr>
            </w:pPr>
            <w:r>
              <w:rPr>
                <w:w w:val="95"/>
                <w:sz w:val="14"/>
              </w:rPr>
              <w:t>11%</w:t>
            </w:r>
          </w:p>
        </w:tc>
        <w:tc>
          <w:tcPr>
            <w:tcW w:w="1241" w:type="dxa"/>
            <w:shd w:val="clear" w:color="auto" w:fill="62BD7A"/>
          </w:tcPr>
          <w:p>
            <w:pPr>
              <w:pStyle w:val="TableParagraph"/>
              <w:spacing w:line="150" w:lineRule="exact" w:before="87"/>
              <w:ind w:right="105"/>
              <w:jc w:val="right"/>
              <w:rPr>
                <w:sz w:val="14"/>
              </w:rPr>
            </w:pPr>
            <w:r>
              <w:rPr>
                <w:w w:val="95"/>
                <w:sz w:val="14"/>
              </w:rPr>
              <w:t>19%</w:t>
            </w:r>
          </w:p>
        </w:tc>
      </w:tr>
      <w:tr>
        <w:trPr>
          <w:trHeight w:val="259" w:hRule="atLeast"/>
        </w:trPr>
        <w:tc>
          <w:tcPr>
            <w:tcW w:w="5483" w:type="dxa"/>
            <w:tcBorders>
              <w:right w:val="single" w:sz="4" w:space="0" w:color="000000"/>
            </w:tcBorders>
          </w:tcPr>
          <w:p>
            <w:pPr>
              <w:pStyle w:val="TableParagraph"/>
              <w:spacing w:line="150" w:lineRule="exact" w:before="89"/>
              <w:ind w:left="108"/>
              <w:rPr>
                <w:sz w:val="14"/>
              </w:rPr>
            </w:pPr>
            <w:r>
              <w:rPr>
                <w:sz w:val="14"/>
              </w:rPr>
              <w:t>Participated in joint governance forums</w:t>
            </w:r>
          </w:p>
        </w:tc>
        <w:tc>
          <w:tcPr>
            <w:tcW w:w="1241" w:type="dxa"/>
            <w:tcBorders>
              <w:left w:val="single" w:sz="4" w:space="0" w:color="000000"/>
            </w:tcBorders>
            <w:shd w:val="clear" w:color="auto" w:fill="E1E695"/>
          </w:tcPr>
          <w:p>
            <w:pPr>
              <w:pStyle w:val="TableParagraph"/>
              <w:spacing w:line="150" w:lineRule="exact" w:before="89"/>
              <w:ind w:right="105"/>
              <w:jc w:val="right"/>
              <w:rPr>
                <w:sz w:val="14"/>
              </w:rPr>
            </w:pPr>
            <w:r>
              <w:rPr>
                <w:w w:val="95"/>
                <w:sz w:val="14"/>
              </w:rPr>
              <w:t>9%</w:t>
            </w:r>
          </w:p>
        </w:tc>
        <w:tc>
          <w:tcPr>
            <w:tcW w:w="1244" w:type="dxa"/>
            <w:shd w:val="clear" w:color="auto" w:fill="BCDA8E"/>
          </w:tcPr>
          <w:p>
            <w:pPr>
              <w:pStyle w:val="TableParagraph"/>
              <w:spacing w:line="150" w:lineRule="exact" w:before="89"/>
              <w:ind w:right="107"/>
              <w:jc w:val="right"/>
              <w:rPr>
                <w:sz w:val="14"/>
              </w:rPr>
            </w:pPr>
            <w:r>
              <w:rPr>
                <w:w w:val="95"/>
                <w:sz w:val="14"/>
              </w:rPr>
              <w:t>14%</w:t>
            </w:r>
          </w:p>
        </w:tc>
        <w:tc>
          <w:tcPr>
            <w:tcW w:w="1241" w:type="dxa"/>
            <w:shd w:val="clear" w:color="auto" w:fill="B8D98E"/>
          </w:tcPr>
          <w:p>
            <w:pPr>
              <w:pStyle w:val="TableParagraph"/>
              <w:spacing w:line="150" w:lineRule="exact" w:before="89"/>
              <w:ind w:right="105"/>
              <w:jc w:val="right"/>
              <w:rPr>
                <w:sz w:val="14"/>
              </w:rPr>
            </w:pPr>
            <w:r>
              <w:rPr>
                <w:w w:val="95"/>
                <w:sz w:val="14"/>
              </w:rPr>
              <w:t>11%</w:t>
            </w:r>
          </w:p>
        </w:tc>
      </w:tr>
      <w:tr>
        <w:trPr>
          <w:trHeight w:val="256" w:hRule="atLeast"/>
        </w:trPr>
        <w:tc>
          <w:tcPr>
            <w:tcW w:w="5483" w:type="dxa"/>
            <w:tcBorders>
              <w:right w:val="single" w:sz="4" w:space="0" w:color="000000"/>
            </w:tcBorders>
          </w:tcPr>
          <w:p>
            <w:pPr>
              <w:pStyle w:val="TableParagraph"/>
              <w:spacing w:line="150" w:lineRule="exact" w:before="87"/>
              <w:ind w:left="108"/>
              <w:rPr>
                <w:sz w:val="14"/>
              </w:rPr>
            </w:pPr>
            <w:r>
              <w:rPr>
                <w:sz w:val="14"/>
              </w:rPr>
              <w:t>Established new ways of working</w:t>
            </w:r>
          </w:p>
        </w:tc>
        <w:tc>
          <w:tcPr>
            <w:tcW w:w="1241" w:type="dxa"/>
            <w:tcBorders>
              <w:left w:val="single" w:sz="4" w:space="0" w:color="000000"/>
            </w:tcBorders>
            <w:shd w:val="clear" w:color="auto" w:fill="D7E293"/>
          </w:tcPr>
          <w:p>
            <w:pPr>
              <w:pStyle w:val="TableParagraph"/>
              <w:spacing w:line="150" w:lineRule="exact" w:before="87"/>
              <w:ind w:right="105"/>
              <w:jc w:val="right"/>
              <w:rPr>
                <w:sz w:val="14"/>
              </w:rPr>
            </w:pPr>
            <w:r>
              <w:rPr>
                <w:w w:val="95"/>
                <w:sz w:val="14"/>
              </w:rPr>
              <w:t>11%</w:t>
            </w:r>
          </w:p>
        </w:tc>
        <w:tc>
          <w:tcPr>
            <w:tcW w:w="1244" w:type="dxa"/>
            <w:shd w:val="clear" w:color="auto" w:fill="D2E092"/>
          </w:tcPr>
          <w:p>
            <w:pPr>
              <w:pStyle w:val="TableParagraph"/>
              <w:spacing w:line="150" w:lineRule="exact" w:before="87"/>
              <w:ind w:right="107"/>
              <w:jc w:val="right"/>
              <w:rPr>
                <w:sz w:val="14"/>
              </w:rPr>
            </w:pPr>
            <w:r>
              <w:rPr>
                <w:w w:val="95"/>
                <w:sz w:val="14"/>
              </w:rPr>
              <w:t>11%</w:t>
            </w:r>
          </w:p>
        </w:tc>
        <w:tc>
          <w:tcPr>
            <w:tcW w:w="1241" w:type="dxa"/>
            <w:shd w:val="clear" w:color="auto" w:fill="C1DC8F"/>
          </w:tcPr>
          <w:p>
            <w:pPr>
              <w:pStyle w:val="TableParagraph"/>
              <w:spacing w:line="150" w:lineRule="exact" w:before="87"/>
              <w:ind w:right="105"/>
              <w:jc w:val="right"/>
              <w:rPr>
                <w:sz w:val="14"/>
              </w:rPr>
            </w:pPr>
            <w:r>
              <w:rPr>
                <w:w w:val="95"/>
                <w:sz w:val="14"/>
              </w:rPr>
              <w:t>11%</w:t>
            </w:r>
          </w:p>
        </w:tc>
      </w:tr>
      <w:tr>
        <w:trPr>
          <w:trHeight w:val="259" w:hRule="atLeast"/>
        </w:trPr>
        <w:tc>
          <w:tcPr>
            <w:tcW w:w="5483" w:type="dxa"/>
            <w:tcBorders>
              <w:right w:val="single" w:sz="4" w:space="0" w:color="000000"/>
            </w:tcBorders>
          </w:tcPr>
          <w:p>
            <w:pPr>
              <w:pStyle w:val="TableParagraph"/>
              <w:spacing w:line="150" w:lineRule="exact" w:before="89"/>
              <w:ind w:left="108"/>
              <w:rPr>
                <w:sz w:val="14"/>
              </w:rPr>
            </w:pPr>
            <w:r>
              <w:rPr>
                <w:sz w:val="14"/>
              </w:rPr>
              <w:t>Shared funding / implemented new funding models</w:t>
            </w:r>
          </w:p>
        </w:tc>
        <w:tc>
          <w:tcPr>
            <w:tcW w:w="1241" w:type="dxa"/>
            <w:tcBorders>
              <w:left w:val="single" w:sz="4" w:space="0" w:color="000000"/>
            </w:tcBorders>
            <w:shd w:val="clear" w:color="auto" w:fill="FFEE9C"/>
          </w:tcPr>
          <w:p>
            <w:pPr>
              <w:pStyle w:val="TableParagraph"/>
              <w:spacing w:line="150" w:lineRule="exact" w:before="89"/>
              <w:ind w:right="105"/>
              <w:jc w:val="right"/>
              <w:rPr>
                <w:sz w:val="14"/>
              </w:rPr>
            </w:pPr>
            <w:r>
              <w:rPr>
                <w:w w:val="95"/>
                <w:sz w:val="14"/>
              </w:rPr>
              <w:t>5%</w:t>
            </w:r>
          </w:p>
        </w:tc>
        <w:tc>
          <w:tcPr>
            <w:tcW w:w="1244" w:type="dxa"/>
            <w:shd w:val="clear" w:color="auto" w:fill="FFEE9C"/>
          </w:tcPr>
          <w:p>
            <w:pPr>
              <w:pStyle w:val="TableParagraph"/>
              <w:spacing w:line="150" w:lineRule="exact" w:before="89"/>
              <w:ind w:right="107"/>
              <w:jc w:val="right"/>
              <w:rPr>
                <w:sz w:val="14"/>
              </w:rPr>
            </w:pPr>
            <w:r>
              <w:rPr>
                <w:sz w:val="14"/>
              </w:rPr>
              <w:t>5%</w:t>
            </w:r>
          </w:p>
        </w:tc>
        <w:tc>
          <w:tcPr>
            <w:tcW w:w="1241" w:type="dxa"/>
            <w:shd w:val="clear" w:color="auto" w:fill="FFEE9C"/>
          </w:tcPr>
          <w:p>
            <w:pPr>
              <w:pStyle w:val="TableParagraph"/>
              <w:spacing w:line="150" w:lineRule="exact" w:before="89"/>
              <w:ind w:right="105"/>
              <w:jc w:val="right"/>
              <w:rPr>
                <w:sz w:val="14"/>
              </w:rPr>
            </w:pPr>
            <w:r>
              <w:rPr>
                <w:w w:val="95"/>
                <w:sz w:val="14"/>
              </w:rPr>
              <w:t>5%</w:t>
            </w:r>
          </w:p>
        </w:tc>
      </w:tr>
      <w:tr>
        <w:trPr>
          <w:trHeight w:val="256" w:hRule="atLeast"/>
        </w:trPr>
        <w:tc>
          <w:tcPr>
            <w:tcW w:w="5483" w:type="dxa"/>
            <w:tcBorders>
              <w:right w:val="single" w:sz="4" w:space="0" w:color="000000"/>
            </w:tcBorders>
          </w:tcPr>
          <w:p>
            <w:pPr>
              <w:pStyle w:val="TableParagraph"/>
              <w:spacing w:line="149" w:lineRule="exact" w:before="87"/>
              <w:ind w:left="108"/>
              <w:rPr>
                <w:sz w:val="14"/>
              </w:rPr>
            </w:pPr>
            <w:r>
              <w:rPr>
                <w:sz w:val="14"/>
              </w:rPr>
              <w:t>Participated in joint planning</w:t>
            </w:r>
          </w:p>
        </w:tc>
        <w:tc>
          <w:tcPr>
            <w:tcW w:w="1241" w:type="dxa"/>
            <w:tcBorders>
              <w:left w:val="single" w:sz="4" w:space="0" w:color="000000"/>
            </w:tcBorders>
            <w:shd w:val="clear" w:color="auto" w:fill="C5DD90"/>
          </w:tcPr>
          <w:p>
            <w:pPr>
              <w:pStyle w:val="TableParagraph"/>
              <w:spacing w:line="149" w:lineRule="exact" w:before="87"/>
              <w:ind w:right="105"/>
              <w:jc w:val="right"/>
              <w:rPr>
                <w:sz w:val="14"/>
              </w:rPr>
            </w:pPr>
            <w:r>
              <w:rPr>
                <w:w w:val="95"/>
                <w:sz w:val="14"/>
              </w:rPr>
              <w:t>14%</w:t>
            </w:r>
          </w:p>
        </w:tc>
        <w:tc>
          <w:tcPr>
            <w:tcW w:w="1244" w:type="dxa"/>
            <w:shd w:val="clear" w:color="auto" w:fill="DEE494"/>
          </w:tcPr>
          <w:p>
            <w:pPr>
              <w:pStyle w:val="TableParagraph"/>
              <w:spacing w:line="149" w:lineRule="exact" w:before="87"/>
              <w:ind w:right="107"/>
              <w:jc w:val="right"/>
              <w:rPr>
                <w:sz w:val="14"/>
              </w:rPr>
            </w:pPr>
            <w:r>
              <w:rPr>
                <w:sz w:val="14"/>
              </w:rPr>
              <w:t>9%</w:t>
            </w:r>
          </w:p>
        </w:tc>
        <w:tc>
          <w:tcPr>
            <w:tcW w:w="1241" w:type="dxa"/>
            <w:shd w:val="clear" w:color="auto" w:fill="B8D98E"/>
          </w:tcPr>
          <w:p>
            <w:pPr>
              <w:pStyle w:val="TableParagraph"/>
              <w:spacing w:line="149" w:lineRule="exact" w:before="87"/>
              <w:ind w:right="105"/>
              <w:jc w:val="right"/>
              <w:rPr>
                <w:sz w:val="14"/>
              </w:rPr>
            </w:pPr>
            <w:r>
              <w:rPr>
                <w:w w:val="95"/>
                <w:sz w:val="14"/>
              </w:rPr>
              <w:t>11%</w:t>
            </w:r>
          </w:p>
        </w:tc>
      </w:tr>
      <w:tr>
        <w:trPr>
          <w:trHeight w:val="259" w:hRule="atLeast"/>
        </w:trPr>
        <w:tc>
          <w:tcPr>
            <w:tcW w:w="5483" w:type="dxa"/>
            <w:tcBorders>
              <w:right w:val="single" w:sz="4" w:space="0" w:color="000000"/>
            </w:tcBorders>
          </w:tcPr>
          <w:p>
            <w:pPr>
              <w:pStyle w:val="TableParagraph"/>
              <w:spacing w:line="150" w:lineRule="exact" w:before="90"/>
              <w:ind w:left="108"/>
              <w:rPr>
                <w:sz w:val="14"/>
              </w:rPr>
            </w:pPr>
            <w:r>
              <w:rPr>
                <w:sz w:val="14"/>
              </w:rPr>
              <w:t>Shared resources</w:t>
            </w:r>
          </w:p>
        </w:tc>
        <w:tc>
          <w:tcPr>
            <w:tcW w:w="1241" w:type="dxa"/>
            <w:tcBorders>
              <w:left w:val="single" w:sz="4" w:space="0" w:color="000000"/>
            </w:tcBorders>
            <w:shd w:val="clear" w:color="auto" w:fill="F6EB9A"/>
          </w:tcPr>
          <w:p>
            <w:pPr>
              <w:pStyle w:val="TableParagraph"/>
              <w:spacing w:line="150" w:lineRule="exact" w:before="90"/>
              <w:ind w:right="105"/>
              <w:jc w:val="right"/>
              <w:rPr>
                <w:sz w:val="14"/>
              </w:rPr>
            </w:pPr>
            <w:r>
              <w:rPr>
                <w:w w:val="95"/>
                <w:sz w:val="14"/>
              </w:rPr>
              <w:t>7%</w:t>
            </w:r>
          </w:p>
        </w:tc>
        <w:tc>
          <w:tcPr>
            <w:tcW w:w="1244" w:type="dxa"/>
            <w:shd w:val="clear" w:color="auto" w:fill="62BD7A"/>
          </w:tcPr>
          <w:p>
            <w:pPr>
              <w:pStyle w:val="TableParagraph"/>
              <w:spacing w:line="150" w:lineRule="exact" w:before="90"/>
              <w:ind w:right="107"/>
              <w:jc w:val="right"/>
              <w:rPr>
                <w:sz w:val="14"/>
              </w:rPr>
            </w:pPr>
            <w:r>
              <w:rPr>
                <w:w w:val="95"/>
                <w:sz w:val="14"/>
              </w:rPr>
              <w:t>26%</w:t>
            </w:r>
          </w:p>
        </w:tc>
        <w:tc>
          <w:tcPr>
            <w:tcW w:w="1241" w:type="dxa"/>
            <w:shd w:val="clear" w:color="auto" w:fill="89CA84"/>
          </w:tcPr>
          <w:p>
            <w:pPr>
              <w:pStyle w:val="TableParagraph"/>
              <w:spacing w:line="150" w:lineRule="exact" w:before="90"/>
              <w:ind w:right="105"/>
              <w:jc w:val="right"/>
              <w:rPr>
                <w:sz w:val="14"/>
              </w:rPr>
            </w:pPr>
            <w:r>
              <w:rPr>
                <w:w w:val="95"/>
                <w:sz w:val="14"/>
              </w:rPr>
              <w:t>16%</w:t>
            </w:r>
          </w:p>
        </w:tc>
      </w:tr>
      <w:tr>
        <w:trPr>
          <w:trHeight w:val="256" w:hRule="atLeast"/>
        </w:trPr>
        <w:tc>
          <w:tcPr>
            <w:tcW w:w="5483" w:type="dxa"/>
            <w:tcBorders>
              <w:right w:val="single" w:sz="4" w:space="0" w:color="000000"/>
            </w:tcBorders>
          </w:tcPr>
          <w:p>
            <w:pPr>
              <w:pStyle w:val="TableParagraph"/>
              <w:spacing w:line="150" w:lineRule="exact" w:before="87"/>
              <w:ind w:left="108"/>
              <w:rPr>
                <w:sz w:val="14"/>
              </w:rPr>
            </w:pPr>
            <w:r>
              <w:rPr>
                <w:sz w:val="14"/>
              </w:rPr>
              <w:t>Participated in knowledge transfer and/or sharing</w:t>
            </w:r>
          </w:p>
        </w:tc>
        <w:tc>
          <w:tcPr>
            <w:tcW w:w="1241" w:type="dxa"/>
            <w:tcBorders>
              <w:left w:val="single" w:sz="4" w:space="0" w:color="000000"/>
            </w:tcBorders>
            <w:shd w:val="clear" w:color="auto" w:fill="B0D68B"/>
          </w:tcPr>
          <w:p>
            <w:pPr>
              <w:pStyle w:val="TableParagraph"/>
              <w:spacing w:line="150" w:lineRule="exact" w:before="87"/>
              <w:ind w:right="105"/>
              <w:jc w:val="right"/>
              <w:rPr>
                <w:sz w:val="14"/>
              </w:rPr>
            </w:pPr>
            <w:r>
              <w:rPr>
                <w:w w:val="95"/>
                <w:sz w:val="14"/>
              </w:rPr>
              <w:t>16%</w:t>
            </w:r>
          </w:p>
        </w:tc>
        <w:tc>
          <w:tcPr>
            <w:tcW w:w="1244" w:type="dxa"/>
            <w:shd w:val="clear" w:color="auto" w:fill="A6D289"/>
          </w:tcPr>
          <w:p>
            <w:pPr>
              <w:pStyle w:val="TableParagraph"/>
              <w:spacing w:line="150" w:lineRule="exact" w:before="87"/>
              <w:ind w:right="107"/>
              <w:jc w:val="right"/>
              <w:rPr>
                <w:sz w:val="14"/>
              </w:rPr>
            </w:pPr>
            <w:r>
              <w:rPr>
                <w:w w:val="95"/>
                <w:sz w:val="14"/>
              </w:rPr>
              <w:t>17%</w:t>
            </w:r>
          </w:p>
        </w:tc>
        <w:tc>
          <w:tcPr>
            <w:tcW w:w="1241" w:type="dxa"/>
            <w:shd w:val="clear" w:color="auto" w:fill="83C782"/>
          </w:tcPr>
          <w:p>
            <w:pPr>
              <w:pStyle w:val="TableParagraph"/>
              <w:spacing w:line="150" w:lineRule="exact" w:before="87"/>
              <w:ind w:right="105"/>
              <w:jc w:val="right"/>
              <w:rPr>
                <w:sz w:val="14"/>
              </w:rPr>
            </w:pPr>
            <w:r>
              <w:rPr>
                <w:w w:val="95"/>
                <w:sz w:val="14"/>
              </w:rPr>
              <w:t>16%</w:t>
            </w:r>
          </w:p>
        </w:tc>
      </w:tr>
    </w:tbl>
    <w:p>
      <w:pPr>
        <w:pStyle w:val="BodyText"/>
        <w:rPr>
          <w:sz w:val="20"/>
        </w:rPr>
      </w:pPr>
    </w:p>
    <w:p>
      <w:pPr>
        <w:pStyle w:val="BodyText"/>
        <w:spacing w:before="6"/>
        <w:rPr>
          <w:sz w:val="17"/>
        </w:rPr>
      </w:pPr>
    </w:p>
    <w:p>
      <w:pPr>
        <w:spacing w:before="0"/>
        <w:ind w:left="300" w:right="0" w:firstLine="0"/>
        <w:jc w:val="left"/>
        <w:rPr>
          <w:sz w:val="16"/>
        </w:rPr>
      </w:pPr>
      <w:r>
        <w:rPr>
          <w:color w:val="75787A"/>
          <w:sz w:val="16"/>
        </w:rPr>
        <w:t>Source: Deloitte Network Analysis Survey 2022 (n=23)</w:t>
      </w:r>
    </w:p>
    <w:p>
      <w:pPr>
        <w:spacing w:line="295" w:lineRule="auto" w:before="46"/>
        <w:ind w:left="300" w:right="1384" w:firstLine="0"/>
        <w:jc w:val="left"/>
        <w:rPr>
          <w:sz w:val="16"/>
        </w:rPr>
      </w:pPr>
      <w:r>
        <w:rPr>
          <w:color w:val="75787A"/>
          <w:sz w:val="16"/>
        </w:rPr>
        <w:t>Note: % represents the proportion of responses for each activity of the total responses for each system stakeholder.</w:t>
      </w:r>
    </w:p>
    <w:p>
      <w:pPr>
        <w:pStyle w:val="BodyText"/>
        <w:rPr>
          <w:sz w:val="20"/>
        </w:rPr>
      </w:pPr>
    </w:p>
    <w:p>
      <w:pPr>
        <w:pStyle w:val="Heading4"/>
        <w:spacing w:line="264" w:lineRule="auto" w:before="144"/>
        <w:ind w:right="976"/>
      </w:pPr>
      <w:r>
        <w:rPr>
          <w:color w:val="0096A9"/>
        </w:rPr>
        <w:t>However, information and data sharing with Aboriginal and Torres Strait Islander organisations and communities continues to be highlighted as a barrier to community- led decision making.</w:t>
      </w:r>
    </w:p>
    <w:p>
      <w:pPr>
        <w:pStyle w:val="BodyText"/>
        <w:spacing w:line="264" w:lineRule="auto" w:before="168"/>
        <w:ind w:left="300" w:right="749"/>
        <w:rPr>
          <w:sz w:val="12"/>
        </w:rPr>
      </w:pPr>
      <w:r>
        <w:rPr/>
        <w:t>It is acknowledged that the Queensland Government has reviewed the </w:t>
      </w:r>
      <w:r>
        <w:rPr>
          <w:i/>
        </w:rPr>
        <w:t>Child Protection Act 1999 </w:t>
      </w:r>
      <w:r>
        <w:rPr/>
        <w:t>to simplify and broaden information sharing provisions. This Act notably states that Child Safety and an independent Aboriginal and Torres Strait Islander entity work with each other to facilitate the participation of the Aboriginal and Torres Strait Islander child or child’s family. The Act also acknowledges that Aboriginal and Torres Strait Islander people should be supported and empowered to participate in decision making processes.</w:t>
      </w:r>
      <w:r>
        <w:rPr>
          <w:position w:val="6"/>
          <w:sz w:val="12"/>
        </w:rPr>
        <w:t>14</w:t>
      </w:r>
    </w:p>
    <w:p>
      <w:pPr>
        <w:pStyle w:val="BodyText"/>
        <w:spacing w:line="264" w:lineRule="auto" w:before="167"/>
        <w:ind w:left="300" w:right="899"/>
      </w:pPr>
      <w:r>
        <w:rPr/>
        <w:t>However, in practice, Aboriginal and Torres Strait Islander stakeholders noted that they continue to face barriers in accessing data on Aboriginal and Torres Strait Islander families. They attribute the resistance to sharing information to two key factors – the risk that identifiable information would be shared with other parties and concerns that the information shared would have adverse reputational effects on the implementing agency. Additionally, government stakeholders also observed some hesitancy to share government policy with the broader community. For example, during the process of developing child rearing legislation, there were some concerns of sharing information with the community during the consultation process as the legislation had not been</w:t>
      </w:r>
    </w:p>
    <w:p>
      <w:pPr>
        <w:pStyle w:val="BodyText"/>
        <w:spacing w:before="3"/>
        <w:rPr>
          <w:sz w:val="27"/>
        </w:rPr>
      </w:pPr>
      <w:r>
        <w:rPr/>
        <w:pict>
          <v:shape style="position:absolute;margin-left:72.024002pt;margin-top:18.802275pt;width:144.050pt;height:.1pt;mso-position-horizontal-relative:page;mso-position-vertical-relative:paragraph;z-index:-251528192;mso-wrap-distance-left:0;mso-wrap-distance-right:0" coordorigin="1440,376" coordsize="2881,0" path="m1440,376l4321,376e" filled="false" stroked="true" strokeweight=".47998pt" strokecolor="#000000">
            <v:path arrowok="t"/>
            <v:stroke dashstyle="solid"/>
            <w10:wrap type="topAndBottom"/>
          </v:shape>
        </w:pict>
      </w:r>
    </w:p>
    <w:p>
      <w:pPr>
        <w:pStyle w:val="BodyText"/>
        <w:spacing w:before="7"/>
        <w:rPr>
          <w:sz w:val="10"/>
        </w:rPr>
      </w:pPr>
    </w:p>
    <w:p>
      <w:pPr>
        <w:spacing w:before="102"/>
        <w:ind w:left="300" w:right="909" w:firstLine="0"/>
        <w:jc w:val="left"/>
        <w:rPr>
          <w:sz w:val="14"/>
        </w:rPr>
      </w:pPr>
      <w:r>
        <w:rPr>
          <w:position w:val="5"/>
          <w:sz w:val="9"/>
        </w:rPr>
        <w:t>14 </w:t>
      </w:r>
      <w:r>
        <w:rPr>
          <w:sz w:val="14"/>
        </w:rPr>
        <w:t>State of Queensland (Department of Child Safety, Youth and Women, 2018) Information Sharing Guidelines – to meet the protection and care needs and promote the wellbeing of children</w:t>
      </w:r>
    </w:p>
    <w:p>
      <w:pPr>
        <w:spacing w:after="0"/>
        <w:jc w:val="left"/>
        <w:rPr>
          <w:sz w:val="14"/>
        </w:rPr>
        <w:sectPr>
          <w:pgSz w:w="11910" w:h="16840"/>
          <w:pgMar w:header="650" w:footer="420" w:top="1340" w:bottom="620" w:left="1140" w:right="700"/>
        </w:sectPr>
      </w:pPr>
    </w:p>
    <w:p>
      <w:pPr>
        <w:pStyle w:val="BodyText"/>
        <w:spacing w:line="264" w:lineRule="auto" w:before="109"/>
        <w:ind w:left="300" w:right="863"/>
      </w:pPr>
      <w:r>
        <w:rPr/>
        <w:t>finalised at that stage. In these instances, government stakeholders took bold steps to share with the community in spite of these challenges.</w:t>
      </w:r>
    </w:p>
    <w:p>
      <w:pPr>
        <w:spacing w:line="264" w:lineRule="auto" w:before="169"/>
        <w:ind w:left="300" w:right="996" w:firstLine="0"/>
        <w:jc w:val="left"/>
        <w:rPr>
          <w:i/>
          <w:sz w:val="18"/>
        </w:rPr>
      </w:pPr>
      <w:r>
        <w:rPr>
          <w:sz w:val="18"/>
        </w:rPr>
        <w:t>The importance of information sharing is described in the quote below: </w:t>
      </w:r>
      <w:r>
        <w:rPr>
          <w:i/>
          <w:color w:val="85BB24"/>
          <w:sz w:val="18"/>
        </w:rPr>
        <w:t>“The first step of shifting </w:t>
      </w:r>
      <w:r>
        <w:rPr>
          <w:i/>
          <w:color w:val="85BB24"/>
          <w:sz w:val="18"/>
        </w:rPr>
        <w:t>power is knowing what is happening in your families and communities. If you do not invite Aboriginal and Torres Strait Islander people to be part of the solution, you prevent people from being self-determining on what the solution might be.”</w:t>
      </w:r>
    </w:p>
    <w:p>
      <w:pPr>
        <w:pStyle w:val="Heading4"/>
        <w:numPr>
          <w:ilvl w:val="2"/>
          <w:numId w:val="32"/>
        </w:numPr>
        <w:tabs>
          <w:tab w:pos="1320" w:val="left" w:leader="none"/>
          <w:tab w:pos="1321" w:val="left" w:leader="none"/>
        </w:tabs>
        <w:spacing w:line="264" w:lineRule="auto" w:before="168" w:after="0"/>
        <w:ind w:left="1320" w:right="1620" w:hanging="1020"/>
        <w:jc w:val="left"/>
      </w:pPr>
      <w:bookmarkStart w:name="_bookmark61" w:id="97"/>
      <w:bookmarkEnd w:id="97"/>
      <w:r>
        <w:rPr>
          <w:b w:val="0"/>
        </w:rPr>
      </w:r>
      <w:bookmarkStart w:name="_bookmark61" w:id="98"/>
      <w:bookmarkEnd w:id="98"/>
      <w:r>
        <w:rPr/>
        <w:t>C</w:t>
      </w:r>
      <w:r>
        <w:rPr/>
        <w:t>hanges in the frequency and impact of collaboration between system stakeholders</w:t>
      </w:r>
    </w:p>
    <w:p>
      <w:pPr>
        <w:spacing w:line="264" w:lineRule="auto" w:before="0"/>
        <w:ind w:left="300" w:right="1150" w:firstLine="0"/>
        <w:jc w:val="left"/>
        <w:rPr>
          <w:b/>
          <w:sz w:val="18"/>
        </w:rPr>
      </w:pPr>
      <w:r>
        <w:rPr>
          <w:b/>
          <w:color w:val="0096A9"/>
          <w:sz w:val="18"/>
        </w:rPr>
        <w:t>The frequency of collaboration between DCYJMA and other government agencies has remained relatively unchanged since the implementation of the </w:t>
      </w:r>
      <w:r>
        <w:rPr>
          <w:b/>
          <w:i/>
          <w:color w:val="0096A9"/>
          <w:sz w:val="18"/>
        </w:rPr>
        <w:t>Our Way</w:t>
      </w:r>
      <w:r>
        <w:rPr>
          <w:b/>
          <w:color w:val="0096A9"/>
          <w:sz w:val="18"/>
        </w:rPr>
        <w:t>.</w:t>
      </w:r>
    </w:p>
    <w:p>
      <w:pPr>
        <w:pStyle w:val="BodyText"/>
        <w:spacing w:line="264" w:lineRule="auto" w:before="168"/>
        <w:ind w:left="300" w:right="729"/>
      </w:pPr>
      <w:r>
        <w:rPr/>
        <w:t>DCYJMA and ACCO survey respondents to the network analysis survey indicated that the frequency of collaboration with other government agencies had remained unchanged (</w:t>
      </w:r>
      <w:hyperlink w:history="true" w:anchor="_bookmark62">
        <w:r>
          <w:rPr/>
          <w:t>Chart 4.3 </w:t>
        </w:r>
      </w:hyperlink>
      <w:r>
        <w:rPr/>
        <w:t>and </w:t>
      </w:r>
      <w:hyperlink w:history="true" w:anchor="_bookmark64">
        <w:r>
          <w:rPr/>
          <w:t>Chart</w:t>
        </w:r>
      </w:hyperlink>
      <w:r>
        <w:rPr/>
        <w:t> </w:t>
      </w:r>
      <w:hyperlink w:history="true" w:anchor="_bookmark64">
        <w:r>
          <w:rPr/>
          <w:t>4.4</w:t>
        </w:r>
      </w:hyperlink>
      <w:r>
        <w:rPr/>
        <w:t>). For example, around 60 per cent-90 per cent of DCYJMA survey respondents and 60 per</w:t>
      </w:r>
    </w:p>
    <w:p>
      <w:pPr>
        <w:pStyle w:val="BodyText"/>
        <w:spacing w:line="264" w:lineRule="auto"/>
        <w:ind w:left="300" w:right="900"/>
      </w:pPr>
      <w:r>
        <w:rPr/>
        <w:t>cent-80 per cent of ACCO respondents reported that the frequency of collaboration with government agencies was about the same since the implementation of </w:t>
      </w:r>
      <w:r>
        <w:rPr>
          <w:i/>
        </w:rPr>
        <w:t>Our Way. </w:t>
      </w:r>
      <w:r>
        <w:rPr/>
        <w:t>These survey findings are consistent with the stakeholder interviews where interviewees commented that while there was a degree of willingness to collaborate, this willingness had not translated into material changes in current ways of working.</w:t>
      </w:r>
    </w:p>
    <w:p>
      <w:pPr>
        <w:spacing w:line="278" w:lineRule="auto" w:before="176"/>
        <w:ind w:left="300" w:right="848" w:firstLine="0"/>
        <w:jc w:val="left"/>
        <w:rPr>
          <w:sz w:val="17"/>
        </w:rPr>
      </w:pPr>
      <w:bookmarkStart w:name="_bookmark62" w:id="99"/>
      <w:bookmarkEnd w:id="99"/>
      <w:r>
        <w:rPr/>
      </w:r>
      <w:r>
        <w:rPr>
          <w:color w:val="75787A"/>
          <w:sz w:val="17"/>
        </w:rPr>
        <w:t>Chart 4.3 </w:t>
      </w:r>
      <w:bookmarkStart w:name="_bookmark63" w:id="100"/>
      <w:bookmarkEnd w:id="100"/>
      <w:r>
        <w:rPr>
          <w:color w:val="75787A"/>
          <w:sz w:val="17"/>
        </w:rPr>
        <w:t>Chang</w:t>
      </w:r>
      <w:r>
        <w:rPr>
          <w:color w:val="75787A"/>
          <w:sz w:val="17"/>
        </w:rPr>
        <w:t>es to the frequency of collaboration between DCYJMA respondents and all other system stakeholders</w:t>
      </w:r>
    </w:p>
    <w:p>
      <w:pPr>
        <w:pStyle w:val="BodyText"/>
        <w:spacing w:before="8"/>
        <w:rPr>
          <w:sz w:val="20"/>
        </w:rPr>
      </w:pPr>
      <w:r>
        <w:rPr/>
        <w:drawing>
          <wp:anchor distT="0" distB="0" distL="0" distR="0" allowOverlap="1" layoutInCell="1" locked="0" behindDoc="0" simplePos="0" relativeHeight="128">
            <wp:simplePos x="0" y="0"/>
            <wp:positionH relativeFrom="page">
              <wp:posOffset>1103398</wp:posOffset>
            </wp:positionH>
            <wp:positionV relativeFrom="paragraph">
              <wp:posOffset>184682</wp:posOffset>
            </wp:positionV>
            <wp:extent cx="5066812" cy="2694432"/>
            <wp:effectExtent l="0" t="0" r="0" b="0"/>
            <wp:wrapTopAndBottom/>
            <wp:docPr id="43" name="image44.png"/>
            <wp:cNvGraphicFramePr>
              <a:graphicFrameLocks noChangeAspect="1"/>
            </wp:cNvGraphicFramePr>
            <a:graphic>
              <a:graphicData uri="http://schemas.openxmlformats.org/drawingml/2006/picture">
                <pic:pic>
                  <pic:nvPicPr>
                    <pic:cNvPr id="44" name="image44.png"/>
                    <pic:cNvPicPr/>
                  </pic:nvPicPr>
                  <pic:blipFill>
                    <a:blip r:embed="rId68" cstate="print"/>
                    <a:stretch>
                      <a:fillRect/>
                    </a:stretch>
                  </pic:blipFill>
                  <pic:spPr>
                    <a:xfrm>
                      <a:off x="0" y="0"/>
                      <a:ext cx="5066812" cy="2694432"/>
                    </a:xfrm>
                    <a:prstGeom prst="rect">
                      <a:avLst/>
                    </a:prstGeom>
                  </pic:spPr>
                </pic:pic>
              </a:graphicData>
            </a:graphic>
          </wp:anchor>
        </w:drawing>
      </w:r>
    </w:p>
    <w:p>
      <w:pPr>
        <w:pStyle w:val="BodyText"/>
        <w:spacing w:before="10"/>
      </w:pPr>
    </w:p>
    <w:p>
      <w:pPr>
        <w:spacing w:before="0"/>
        <w:ind w:left="300" w:right="0" w:firstLine="0"/>
        <w:jc w:val="left"/>
        <w:rPr>
          <w:sz w:val="16"/>
        </w:rPr>
      </w:pPr>
      <w:r>
        <w:rPr>
          <w:color w:val="75787A"/>
          <w:sz w:val="16"/>
        </w:rPr>
        <w:t>Source: Deloitte Network Analysis Survey 2022 (total responses n=16)</w:t>
      </w:r>
    </w:p>
    <w:p>
      <w:pPr>
        <w:spacing w:line="295" w:lineRule="auto" w:before="46"/>
        <w:ind w:left="300" w:right="1266" w:firstLine="0"/>
        <w:jc w:val="left"/>
        <w:rPr>
          <w:sz w:val="16"/>
        </w:rPr>
      </w:pPr>
      <w:r>
        <w:rPr>
          <w:color w:val="75787A"/>
          <w:sz w:val="16"/>
        </w:rPr>
        <w:t>Note: Number of DCYJMA respondents varied between 7-10 as not all respondents collaborate with other system stakeholders.</w:t>
      </w:r>
    </w:p>
    <w:p>
      <w:pPr>
        <w:pStyle w:val="Heading4"/>
        <w:spacing w:line="264" w:lineRule="auto" w:before="147"/>
        <w:ind w:right="1175"/>
      </w:pPr>
      <w:r>
        <w:rPr>
          <w:color w:val="0096A9"/>
        </w:rPr>
        <w:t>However, the frequency of collaboration between DCYJMA and Aboriginal and Torres Strait Islander organisations (through ACCOs and QATSICPP) has notably increased since the implementation of </w:t>
      </w:r>
      <w:r>
        <w:rPr>
          <w:i/>
          <w:color w:val="0096A9"/>
        </w:rPr>
        <w:t>Our Way</w:t>
      </w:r>
      <w:r>
        <w:rPr>
          <w:color w:val="0096A9"/>
        </w:rPr>
        <w:t>.</w:t>
      </w:r>
    </w:p>
    <w:p>
      <w:pPr>
        <w:pStyle w:val="BodyText"/>
        <w:spacing w:line="264" w:lineRule="auto" w:before="168"/>
        <w:ind w:left="300" w:right="891"/>
      </w:pPr>
      <w:r>
        <w:rPr/>
        <w:t>DCYJMA and ACCO survey respondents reported increased frequency of collaboration with Aboriginal and Torres Strait Islander organisations. For example, around 50 per cent of DCYJMA respondents said they were collaborating with the Queensland Family and Child Commission, Family Matters Queensland, and QATSICPP more frequently since the implementation of </w:t>
      </w:r>
      <w:r>
        <w:rPr>
          <w:i/>
        </w:rPr>
        <w:t>Our Way </w:t>
      </w:r>
      <w:r>
        <w:rPr/>
        <w:t>(</w:t>
      </w:r>
      <w:hyperlink w:history="true" w:anchor="_bookmark63">
        <w:r>
          <w:rPr/>
          <w:t>Chart 4.3</w:t>
        </w:r>
      </w:hyperlink>
      <w:r>
        <w:rPr/>
        <w:t>). Over half of the respondents from ACCOs reported increased frequency of collaboration with DCYJMA and QATSICPP (</w:t>
      </w:r>
      <w:hyperlink w:history="true" w:anchor="_bookmark64">
        <w:r>
          <w:rPr/>
          <w:t>Chart 4.4</w:t>
        </w:r>
      </w:hyperlink>
      <w:r>
        <w:rPr/>
        <w:t>).</w:t>
      </w:r>
    </w:p>
    <w:p>
      <w:pPr>
        <w:spacing w:after="0" w:line="264" w:lineRule="auto"/>
        <w:sectPr>
          <w:pgSz w:w="11910" w:h="16840"/>
          <w:pgMar w:header="650" w:footer="420" w:top="1340" w:bottom="620" w:left="1140" w:right="700"/>
        </w:sectPr>
      </w:pPr>
    </w:p>
    <w:p>
      <w:pPr>
        <w:pStyle w:val="BodyText"/>
        <w:rPr>
          <w:sz w:val="20"/>
        </w:rPr>
      </w:pPr>
    </w:p>
    <w:p>
      <w:pPr>
        <w:pStyle w:val="BodyText"/>
        <w:spacing w:before="6"/>
        <w:rPr>
          <w:sz w:val="15"/>
        </w:rPr>
      </w:pPr>
    </w:p>
    <w:p>
      <w:pPr>
        <w:spacing w:line="278" w:lineRule="auto" w:before="100"/>
        <w:ind w:left="300" w:right="1619" w:firstLine="0"/>
        <w:jc w:val="left"/>
        <w:rPr>
          <w:i/>
          <w:sz w:val="17"/>
        </w:rPr>
      </w:pPr>
      <w:bookmarkStart w:name="_bookmark64" w:id="101"/>
      <w:bookmarkEnd w:id="101"/>
      <w:r>
        <w:rPr/>
      </w:r>
      <w:r>
        <w:rPr>
          <w:color w:val="75787A"/>
          <w:sz w:val="17"/>
        </w:rPr>
        <w:t>Chart 4.4 Changes to the frequency of meetings between ACCO respondents and other system stakeholders since the implementation of </w:t>
      </w:r>
      <w:r>
        <w:rPr>
          <w:i/>
          <w:color w:val="75787A"/>
          <w:sz w:val="17"/>
        </w:rPr>
        <w:t>Our</w:t>
      </w:r>
      <w:r>
        <w:rPr>
          <w:i/>
          <w:color w:val="75787A"/>
          <w:spacing w:val="-4"/>
          <w:sz w:val="17"/>
        </w:rPr>
        <w:t> </w:t>
      </w:r>
      <w:r>
        <w:rPr>
          <w:i/>
          <w:color w:val="75787A"/>
          <w:sz w:val="17"/>
        </w:rPr>
        <w:t>Way</w:t>
      </w:r>
    </w:p>
    <w:p>
      <w:pPr>
        <w:pStyle w:val="BodyText"/>
        <w:spacing w:before="7"/>
        <w:rPr>
          <w:i/>
          <w:sz w:val="21"/>
        </w:rPr>
      </w:pPr>
      <w:r>
        <w:rPr/>
        <w:drawing>
          <wp:anchor distT="0" distB="0" distL="0" distR="0" allowOverlap="1" layoutInCell="1" locked="0" behindDoc="0" simplePos="0" relativeHeight="129">
            <wp:simplePos x="0" y="0"/>
            <wp:positionH relativeFrom="page">
              <wp:posOffset>1103394</wp:posOffset>
            </wp:positionH>
            <wp:positionV relativeFrom="paragraph">
              <wp:posOffset>191326</wp:posOffset>
            </wp:positionV>
            <wp:extent cx="4932997" cy="2694431"/>
            <wp:effectExtent l="0" t="0" r="0" b="0"/>
            <wp:wrapTopAndBottom/>
            <wp:docPr id="45" name="image45.png"/>
            <wp:cNvGraphicFramePr>
              <a:graphicFrameLocks noChangeAspect="1"/>
            </wp:cNvGraphicFramePr>
            <a:graphic>
              <a:graphicData uri="http://schemas.openxmlformats.org/drawingml/2006/picture">
                <pic:pic>
                  <pic:nvPicPr>
                    <pic:cNvPr id="46" name="image45.png"/>
                    <pic:cNvPicPr/>
                  </pic:nvPicPr>
                  <pic:blipFill>
                    <a:blip r:embed="rId69" cstate="print"/>
                    <a:stretch>
                      <a:fillRect/>
                    </a:stretch>
                  </pic:blipFill>
                  <pic:spPr>
                    <a:xfrm>
                      <a:off x="0" y="0"/>
                      <a:ext cx="4932997" cy="2694431"/>
                    </a:xfrm>
                    <a:prstGeom prst="rect">
                      <a:avLst/>
                    </a:prstGeom>
                  </pic:spPr>
                </pic:pic>
              </a:graphicData>
            </a:graphic>
          </wp:anchor>
        </w:drawing>
      </w:r>
    </w:p>
    <w:p>
      <w:pPr>
        <w:pStyle w:val="BodyText"/>
        <w:rPr>
          <w:i/>
          <w:sz w:val="20"/>
        </w:rPr>
      </w:pPr>
    </w:p>
    <w:p>
      <w:pPr>
        <w:spacing w:before="144"/>
        <w:ind w:left="300" w:right="0" w:firstLine="0"/>
        <w:jc w:val="left"/>
        <w:rPr>
          <w:sz w:val="16"/>
        </w:rPr>
      </w:pPr>
      <w:r>
        <w:rPr>
          <w:color w:val="75787A"/>
          <w:sz w:val="16"/>
        </w:rPr>
        <w:t>Source: Deloitte Network Analysis survey 2022</w:t>
      </w:r>
      <w:r>
        <w:rPr>
          <w:color w:val="75787A"/>
          <w:spacing w:val="-13"/>
          <w:sz w:val="16"/>
        </w:rPr>
        <w:t> </w:t>
      </w:r>
      <w:r>
        <w:rPr>
          <w:color w:val="75787A"/>
          <w:sz w:val="16"/>
        </w:rPr>
        <w:t>(n=6)</w:t>
      </w:r>
    </w:p>
    <w:p>
      <w:pPr>
        <w:spacing w:line="295" w:lineRule="auto" w:before="45"/>
        <w:ind w:left="300" w:right="1112" w:firstLine="0"/>
        <w:jc w:val="left"/>
        <w:rPr>
          <w:sz w:val="16"/>
        </w:rPr>
      </w:pPr>
      <w:r>
        <w:rPr>
          <w:color w:val="75787A"/>
          <w:sz w:val="16"/>
        </w:rPr>
        <w:t>Note: Number of ACCOs respondents was 5 as 1 respondent did not report collaborating with other system stakeholders.</w:t>
      </w:r>
    </w:p>
    <w:p>
      <w:pPr>
        <w:pStyle w:val="BodyText"/>
        <w:spacing w:line="264" w:lineRule="auto" w:before="148"/>
        <w:ind w:left="300" w:right="754"/>
      </w:pPr>
      <w:r>
        <w:rPr/>
        <w:t>Interviews with stakeholders from other government agencies (i.e., DoE, DSDSATSIP, DESBT, DCHDE and DJAG) also indicated that there has been an increase in engagement with ACCOs and community leaders since the implementation of </w:t>
      </w:r>
      <w:r>
        <w:rPr>
          <w:i/>
        </w:rPr>
        <w:t>Our Way</w:t>
      </w:r>
      <w:r>
        <w:rPr/>
        <w:t>. This engagement has occurred at the central and local levels (for example, the Joint Coordinating Committee for Local Thriving Communities). Interestingly, interviewees stated that the increase in collaboration with ACCOs and community leaders has been influenced by the implementation of </w:t>
      </w:r>
      <w:r>
        <w:rPr>
          <w:i/>
        </w:rPr>
        <w:t>Our Way</w:t>
      </w:r>
      <w:r>
        <w:rPr/>
        <w:t>, but also a range of other policy imperatives and a gradual shift within government to recognise the importance of Aboriginal and Torres Strait Islander voices in decision making.</w:t>
      </w:r>
    </w:p>
    <w:p>
      <w:pPr>
        <w:pStyle w:val="Heading4"/>
        <w:spacing w:line="264" w:lineRule="auto" w:before="165"/>
        <w:ind w:right="926"/>
      </w:pPr>
      <w:r>
        <w:rPr>
          <w:color w:val="0096A9"/>
        </w:rPr>
        <w:t>There is limited evidence that collaboration between stakeholders since the implementation of </w:t>
      </w:r>
      <w:r>
        <w:rPr>
          <w:i/>
          <w:color w:val="0096A9"/>
        </w:rPr>
        <w:t>Our Way </w:t>
      </w:r>
      <w:r>
        <w:rPr>
          <w:color w:val="0096A9"/>
        </w:rPr>
        <w:t>has generated more impactful outcomes for Aboriginal and Torres Strait Islander communities.</w:t>
      </w:r>
    </w:p>
    <w:p>
      <w:pPr>
        <w:pStyle w:val="BodyText"/>
        <w:spacing w:line="264" w:lineRule="auto" w:before="169"/>
        <w:ind w:left="300" w:right="799"/>
      </w:pPr>
      <w:r>
        <w:rPr/>
        <w:t>Despite reported increases in the frequency of collaboration between DCYJMA and Aboriginal and Torres Strait Islander organisations, the level of impact had reportedly remained about the same for all system stakeholders. </w:t>
      </w:r>
      <w:hyperlink w:history="true" w:anchor="_bookmark65">
        <w:r>
          <w:rPr/>
          <w:t>Chart 4.5 </w:t>
        </w:r>
      </w:hyperlink>
      <w:r>
        <w:rPr/>
        <w:t>and </w:t>
      </w:r>
      <w:hyperlink w:history="true" w:anchor="_bookmark66">
        <w:r>
          <w:rPr/>
          <w:t>Chart 4.6 </w:t>
        </w:r>
      </w:hyperlink>
      <w:r>
        <w:rPr/>
        <w:t>outline key findings from the perspective of DCYJMA and ACCO survey respondents on the extent to which the collaboration related to </w:t>
      </w:r>
      <w:r>
        <w:rPr>
          <w:i/>
        </w:rPr>
        <w:t>Our </w:t>
      </w:r>
      <w:r>
        <w:rPr>
          <w:i/>
        </w:rPr>
        <w:t>Way </w:t>
      </w:r>
      <w:r>
        <w:rPr/>
        <w:t>has been impactful. DCYJMA’s survey responses indicated more impactful collaboration within their organisation and Aboriginal and Torres Strait Islander organisations, but generally no change in impactful collaboration with other government agencies. Survey respondents who were part of ACCOs were less optimistic – with some survey respondents indicating that the collaboration with other government agencies have either been unchanged or in some instances, less impactful since the implementation of </w:t>
      </w:r>
      <w:r>
        <w:rPr>
          <w:i/>
        </w:rPr>
        <w:t>Our</w:t>
      </w:r>
      <w:r>
        <w:rPr>
          <w:i/>
          <w:spacing w:val="-3"/>
        </w:rPr>
        <w:t> </w:t>
      </w:r>
      <w:r>
        <w:rPr>
          <w:i/>
        </w:rPr>
        <w:t>Way</w:t>
      </w:r>
      <w:r>
        <w:rPr/>
        <w:t>.</w:t>
      </w:r>
    </w:p>
    <w:p>
      <w:pPr>
        <w:pStyle w:val="BodyText"/>
        <w:spacing w:line="264" w:lineRule="auto" w:before="164"/>
        <w:ind w:left="300" w:right="759"/>
      </w:pPr>
      <w:r>
        <w:rPr/>
        <w:t>These survey findings were supported by the stakeholder interviews and workshop discussions where participants noted that most government agencies (apart from DCYJMA) see </w:t>
      </w:r>
      <w:r>
        <w:rPr>
          <w:i/>
        </w:rPr>
        <w:t>Our Way </w:t>
      </w:r>
      <w:r>
        <w:rPr/>
        <w:t>as a child protection strategy and have not been taking steps to undertake the transformational change needed to provide ACCOs with greater power and decision-making authority with regards to caring for children across the continuum of child safety. During the interviews, participants explained that other government agencies may not fully understand the need to work closely with ACCOs and the broader Aboriginal and Torres Strait Islander community to address the upstream social</w:t>
      </w:r>
    </w:p>
    <w:p>
      <w:pPr>
        <w:spacing w:after="0" w:line="264" w:lineRule="auto"/>
        <w:sectPr>
          <w:pgSz w:w="11910" w:h="16840"/>
          <w:pgMar w:header="650" w:footer="420" w:top="1340" w:bottom="620" w:left="1140" w:right="700"/>
        </w:sectPr>
      </w:pPr>
    </w:p>
    <w:p>
      <w:pPr>
        <w:pStyle w:val="BodyText"/>
        <w:spacing w:line="264" w:lineRule="auto" w:before="109"/>
        <w:ind w:left="300" w:right="1148"/>
      </w:pPr>
      <w:r>
        <w:rPr/>
        <w:t>determinants (e.g., health, housing, education) that can contribute to children coming into the child protection system.</w:t>
      </w:r>
    </w:p>
    <w:p>
      <w:pPr>
        <w:spacing w:line="278" w:lineRule="auto" w:before="181"/>
        <w:ind w:left="300" w:right="1365" w:firstLine="0"/>
        <w:jc w:val="left"/>
        <w:rPr>
          <w:i/>
          <w:sz w:val="17"/>
        </w:rPr>
      </w:pPr>
      <w:bookmarkStart w:name="_bookmark65" w:id="102"/>
      <w:bookmarkEnd w:id="102"/>
      <w:r>
        <w:rPr/>
      </w:r>
      <w:r>
        <w:rPr>
          <w:color w:val="75787A"/>
          <w:sz w:val="17"/>
        </w:rPr>
        <w:t>Chart 4.5 Changes to the level of impact of collaboration between DCYJMA respondents and other system stakeholders since the implementation of </w:t>
      </w:r>
      <w:r>
        <w:rPr>
          <w:i/>
          <w:color w:val="75787A"/>
          <w:sz w:val="17"/>
        </w:rPr>
        <w:t>Our Way</w:t>
      </w:r>
    </w:p>
    <w:p>
      <w:pPr>
        <w:pStyle w:val="BodyText"/>
        <w:rPr>
          <w:i/>
          <w:sz w:val="20"/>
        </w:rPr>
      </w:pPr>
    </w:p>
    <w:p>
      <w:pPr>
        <w:pStyle w:val="BodyText"/>
        <w:spacing w:before="6"/>
        <w:rPr>
          <w:i/>
          <w:sz w:val="20"/>
        </w:rPr>
      </w:pPr>
      <w:r>
        <w:rPr/>
        <w:drawing>
          <wp:anchor distT="0" distB="0" distL="0" distR="0" allowOverlap="1" layoutInCell="1" locked="0" behindDoc="0" simplePos="0" relativeHeight="130">
            <wp:simplePos x="0" y="0"/>
            <wp:positionH relativeFrom="page">
              <wp:posOffset>1103399</wp:posOffset>
            </wp:positionH>
            <wp:positionV relativeFrom="paragraph">
              <wp:posOffset>183357</wp:posOffset>
            </wp:positionV>
            <wp:extent cx="4822738" cy="2718816"/>
            <wp:effectExtent l="0" t="0" r="0" b="0"/>
            <wp:wrapTopAndBottom/>
            <wp:docPr id="47" name="image46.png"/>
            <wp:cNvGraphicFramePr>
              <a:graphicFrameLocks noChangeAspect="1"/>
            </wp:cNvGraphicFramePr>
            <a:graphic>
              <a:graphicData uri="http://schemas.openxmlformats.org/drawingml/2006/picture">
                <pic:pic>
                  <pic:nvPicPr>
                    <pic:cNvPr id="48" name="image46.png"/>
                    <pic:cNvPicPr/>
                  </pic:nvPicPr>
                  <pic:blipFill>
                    <a:blip r:embed="rId70" cstate="print"/>
                    <a:stretch>
                      <a:fillRect/>
                    </a:stretch>
                  </pic:blipFill>
                  <pic:spPr>
                    <a:xfrm>
                      <a:off x="0" y="0"/>
                      <a:ext cx="4822738" cy="2718816"/>
                    </a:xfrm>
                    <a:prstGeom prst="rect">
                      <a:avLst/>
                    </a:prstGeom>
                  </pic:spPr>
                </pic:pic>
              </a:graphicData>
            </a:graphic>
          </wp:anchor>
        </w:drawing>
      </w:r>
    </w:p>
    <w:p>
      <w:pPr>
        <w:pStyle w:val="BodyText"/>
        <w:spacing w:before="9"/>
        <w:rPr>
          <w:i/>
        </w:rPr>
      </w:pPr>
    </w:p>
    <w:p>
      <w:pPr>
        <w:spacing w:before="1"/>
        <w:ind w:left="300" w:right="0" w:firstLine="0"/>
        <w:jc w:val="left"/>
        <w:rPr>
          <w:sz w:val="16"/>
        </w:rPr>
      </w:pPr>
      <w:r>
        <w:rPr>
          <w:color w:val="75787A"/>
          <w:sz w:val="16"/>
        </w:rPr>
        <w:t>Source: Deloitte Network Analysis Survey 2022 (total responses n=16)</w:t>
      </w:r>
    </w:p>
    <w:p>
      <w:pPr>
        <w:spacing w:line="295" w:lineRule="auto" w:before="46"/>
        <w:ind w:left="300" w:right="1266" w:firstLine="0"/>
        <w:jc w:val="left"/>
        <w:rPr>
          <w:sz w:val="16"/>
        </w:rPr>
      </w:pPr>
      <w:r>
        <w:rPr>
          <w:color w:val="75787A"/>
          <w:sz w:val="16"/>
        </w:rPr>
        <w:t>Note: Number of DCYJMA respondents varied between 7-10 as not all respondents collaborate with other system stakeholders.</w:t>
      </w:r>
    </w:p>
    <w:p>
      <w:pPr>
        <w:pStyle w:val="BodyText"/>
        <w:rPr>
          <w:sz w:val="20"/>
        </w:rPr>
      </w:pPr>
    </w:p>
    <w:p>
      <w:pPr>
        <w:spacing w:line="278" w:lineRule="auto" w:before="156"/>
        <w:ind w:left="300" w:right="1002" w:firstLine="0"/>
        <w:jc w:val="left"/>
        <w:rPr>
          <w:i/>
          <w:sz w:val="17"/>
        </w:rPr>
      </w:pPr>
      <w:r>
        <w:rPr>
          <w:color w:val="75787A"/>
          <w:sz w:val="17"/>
        </w:rPr>
        <w:t>Chart 4.6 </w:t>
      </w:r>
      <w:bookmarkStart w:name="_bookmark66" w:id="103"/>
      <w:bookmarkEnd w:id="103"/>
      <w:r>
        <w:rPr>
          <w:color w:val="75787A"/>
          <w:sz w:val="17"/>
        </w:rPr>
        <w:t>Change</w:t>
      </w:r>
      <w:r>
        <w:rPr>
          <w:color w:val="75787A"/>
          <w:sz w:val="17"/>
        </w:rPr>
        <w:t> in the level of impact of collaboration between ACCO respondents and other system stakeholders since the implementation of </w:t>
      </w:r>
      <w:r>
        <w:rPr>
          <w:i/>
          <w:color w:val="75787A"/>
          <w:sz w:val="17"/>
        </w:rPr>
        <w:t>Our Way</w:t>
      </w:r>
    </w:p>
    <w:p>
      <w:pPr>
        <w:pStyle w:val="BodyText"/>
        <w:spacing w:before="2"/>
        <w:rPr>
          <w:i/>
          <w:sz w:val="27"/>
        </w:rPr>
      </w:pPr>
      <w:r>
        <w:rPr/>
        <w:drawing>
          <wp:anchor distT="0" distB="0" distL="0" distR="0" allowOverlap="1" layoutInCell="1" locked="0" behindDoc="0" simplePos="0" relativeHeight="131">
            <wp:simplePos x="0" y="0"/>
            <wp:positionH relativeFrom="page">
              <wp:posOffset>1103390</wp:posOffset>
            </wp:positionH>
            <wp:positionV relativeFrom="paragraph">
              <wp:posOffset>234479</wp:posOffset>
            </wp:positionV>
            <wp:extent cx="4815779" cy="2694432"/>
            <wp:effectExtent l="0" t="0" r="0" b="0"/>
            <wp:wrapTopAndBottom/>
            <wp:docPr id="49" name="image47.png"/>
            <wp:cNvGraphicFramePr>
              <a:graphicFrameLocks noChangeAspect="1"/>
            </wp:cNvGraphicFramePr>
            <a:graphic>
              <a:graphicData uri="http://schemas.openxmlformats.org/drawingml/2006/picture">
                <pic:pic>
                  <pic:nvPicPr>
                    <pic:cNvPr id="50" name="image47.png"/>
                    <pic:cNvPicPr/>
                  </pic:nvPicPr>
                  <pic:blipFill>
                    <a:blip r:embed="rId71" cstate="print"/>
                    <a:stretch>
                      <a:fillRect/>
                    </a:stretch>
                  </pic:blipFill>
                  <pic:spPr>
                    <a:xfrm>
                      <a:off x="0" y="0"/>
                      <a:ext cx="4815779" cy="2694432"/>
                    </a:xfrm>
                    <a:prstGeom prst="rect">
                      <a:avLst/>
                    </a:prstGeom>
                  </pic:spPr>
                </pic:pic>
              </a:graphicData>
            </a:graphic>
          </wp:anchor>
        </w:drawing>
      </w:r>
    </w:p>
    <w:p>
      <w:pPr>
        <w:pStyle w:val="BodyText"/>
        <w:spacing w:before="10"/>
        <w:rPr>
          <w:i/>
          <w:sz w:val="28"/>
        </w:rPr>
      </w:pPr>
    </w:p>
    <w:p>
      <w:pPr>
        <w:spacing w:before="0"/>
        <w:ind w:left="300" w:right="0" w:firstLine="0"/>
        <w:jc w:val="left"/>
        <w:rPr>
          <w:sz w:val="16"/>
        </w:rPr>
      </w:pPr>
      <w:r>
        <w:rPr>
          <w:color w:val="75787A"/>
          <w:sz w:val="16"/>
        </w:rPr>
        <w:t>Source: Deloitte Network Analysis Survey 2022 (total response n=5)</w:t>
      </w:r>
    </w:p>
    <w:p>
      <w:pPr>
        <w:spacing w:after="0"/>
        <w:jc w:val="left"/>
        <w:rPr>
          <w:sz w:val="16"/>
        </w:rPr>
        <w:sectPr>
          <w:pgSz w:w="11910" w:h="16840"/>
          <w:pgMar w:header="650" w:footer="420" w:top="1340" w:bottom="620" w:left="1140" w:right="700"/>
        </w:sectPr>
      </w:pPr>
    </w:p>
    <w:p>
      <w:pPr>
        <w:pStyle w:val="Heading1"/>
        <w:numPr>
          <w:ilvl w:val="0"/>
          <w:numId w:val="24"/>
        </w:numPr>
        <w:tabs>
          <w:tab w:pos="1094" w:val="left" w:leader="none"/>
          <w:tab w:pos="1095" w:val="left" w:leader="none"/>
        </w:tabs>
        <w:spacing w:line="240" w:lineRule="auto" w:before="90" w:after="0"/>
        <w:ind w:left="1094" w:right="0" w:hanging="795"/>
        <w:jc w:val="left"/>
      </w:pPr>
      <w:bookmarkStart w:name="_bookmark67" w:id="104"/>
      <w:bookmarkEnd w:id="104"/>
      <w:r>
        <w:rPr/>
      </w:r>
      <w:bookmarkStart w:name="_bookmark67" w:id="105"/>
      <w:bookmarkEnd w:id="105"/>
      <w:r>
        <w:rPr/>
        <w:t>Barrie</w:t>
      </w:r>
      <w:r>
        <w:rPr/>
        <w:t>rs and</w:t>
      </w:r>
      <w:r>
        <w:rPr>
          <w:spacing w:val="-3"/>
        </w:rPr>
        <w:t> </w:t>
      </w:r>
      <w:r>
        <w:rPr/>
        <w:t>enablers</w:t>
      </w:r>
    </w:p>
    <w:p>
      <w:pPr>
        <w:spacing w:line="264" w:lineRule="auto" w:before="499"/>
        <w:ind w:left="300" w:right="904" w:firstLine="0"/>
        <w:jc w:val="left"/>
        <w:rPr>
          <w:i/>
          <w:sz w:val="18"/>
        </w:rPr>
      </w:pPr>
      <w:r>
        <w:rPr>
          <w:i/>
          <w:sz w:val="18"/>
        </w:rPr>
        <w:t>This section outlines key enablers and barriers which impact the achievement of the objectives of </w:t>
      </w:r>
      <w:r>
        <w:rPr>
          <w:i/>
          <w:sz w:val="18"/>
        </w:rPr>
        <w:t>the Our Way strategy.</w:t>
      </w:r>
    </w:p>
    <w:p>
      <w:pPr>
        <w:pStyle w:val="Heading4"/>
        <w:spacing w:line="448" w:lineRule="auto" w:before="169"/>
        <w:ind w:right="8498"/>
      </w:pPr>
      <w:r>
        <w:rPr/>
        <w:pict>
          <v:shape style="position:absolute;margin-left:70.584pt;margin-top:8.498315pt;width:454.3pt;height:493.9pt;mso-position-horizontal-relative:page;mso-position-vertical-relative:paragraph;z-index:-258135040" coordorigin="1412,170" coordsize="9086,9878" path="m10497,8129l1412,8129,1412,8370,1412,8610,1412,8850,1412,9090,1412,9330,1412,9570,1412,9810,1412,10048,10497,10048,10497,9810,10497,9570,10497,9330,10497,9090,10497,8850,10497,8610,10497,8370,10497,8129m10497,6658l1412,6658,1412,7069,1412,7479,1412,7719,1412,8129,10497,8129,10497,7719,10497,7479,10497,7069,10497,6658m10497,1447l1412,1447,1412,1687,1412,1927,1412,2167,1412,2407,1412,2647,1412,2887,1412,3127,1412,3367,1412,3607,1412,3847,1412,4087,1412,4498,1412,4738,1412,4738,1412,4978,1412,5218,1412,5458,1412,5698,1412,5938,1412,6178,1412,6418,1412,6658,10497,6658,10497,6418,10497,6178,10497,5938,10497,5698,10497,5458,10497,5218,10497,4978,10497,4738,10497,4738,10497,4498,10497,4087,10497,3847,10497,3607,10497,3367,10497,3127,10497,2887,10497,2647,10497,2407,10497,2167,10497,1927,10497,1687,10497,1447m10497,170l1412,170,1412,556,1412,967,1412,1207,1412,1447,10497,1447,10497,1207,10497,967,10497,556,10497,170e" filled="true" fillcolor="#dfeff8" stroked="false">
            <v:path arrowok="t"/>
            <v:fill type="solid"/>
            <w10:wrap type="none"/>
          </v:shape>
        </w:pict>
      </w:r>
      <w:r>
        <w:rPr/>
        <w:t>Key findings Enablers</w:t>
      </w:r>
    </w:p>
    <w:p>
      <w:pPr>
        <w:pStyle w:val="ListParagraph"/>
        <w:numPr>
          <w:ilvl w:val="0"/>
          <w:numId w:val="34"/>
        </w:numPr>
        <w:tabs>
          <w:tab w:pos="661" w:val="left" w:leader="none"/>
        </w:tabs>
        <w:spacing w:line="264" w:lineRule="auto" w:before="1" w:after="0"/>
        <w:ind w:left="660" w:right="777" w:hanging="360"/>
        <w:jc w:val="left"/>
        <w:rPr>
          <w:sz w:val="18"/>
        </w:rPr>
      </w:pPr>
      <w:r>
        <w:rPr>
          <w:sz w:val="18"/>
        </w:rPr>
        <w:t>There is evidence of greater trust and empowerment of the community-controlled sector which has improved Aboriginal and Torres Strait Islander peoples’ access to more culturally appropriate</w:t>
      </w:r>
      <w:r>
        <w:rPr>
          <w:spacing w:val="-2"/>
          <w:sz w:val="18"/>
        </w:rPr>
        <w:t> </w:t>
      </w:r>
      <w:r>
        <w:rPr>
          <w:sz w:val="18"/>
        </w:rPr>
        <w:t>services.</w:t>
      </w:r>
    </w:p>
    <w:p>
      <w:pPr>
        <w:pStyle w:val="ListParagraph"/>
        <w:numPr>
          <w:ilvl w:val="0"/>
          <w:numId w:val="34"/>
        </w:numPr>
        <w:tabs>
          <w:tab w:pos="661" w:val="left" w:leader="none"/>
        </w:tabs>
        <w:spacing w:line="264" w:lineRule="auto" w:before="0" w:after="0"/>
        <w:ind w:left="660" w:right="869" w:hanging="360"/>
        <w:jc w:val="left"/>
        <w:rPr>
          <w:sz w:val="18"/>
        </w:rPr>
      </w:pPr>
      <w:r>
        <w:rPr>
          <w:sz w:val="18"/>
        </w:rPr>
        <w:t>Notwithstanding these positive developments, there is scope for the Government to work in genuine partnership with the community to support the sustainable development of the community-controlled sector. This extends beyond financial resourcing and includes capability building supports and workforce</w:t>
      </w:r>
      <w:r>
        <w:rPr>
          <w:spacing w:val="-5"/>
          <w:sz w:val="18"/>
        </w:rPr>
        <w:t> </w:t>
      </w:r>
      <w:r>
        <w:rPr>
          <w:sz w:val="18"/>
        </w:rPr>
        <w:t>development.</w:t>
      </w:r>
    </w:p>
    <w:p>
      <w:pPr>
        <w:pStyle w:val="ListParagraph"/>
        <w:numPr>
          <w:ilvl w:val="0"/>
          <w:numId w:val="34"/>
        </w:numPr>
        <w:tabs>
          <w:tab w:pos="661" w:val="left" w:leader="none"/>
        </w:tabs>
        <w:spacing w:line="264" w:lineRule="auto" w:before="0" w:after="0"/>
        <w:ind w:left="660" w:right="874" w:hanging="360"/>
        <w:jc w:val="left"/>
        <w:rPr>
          <w:sz w:val="18"/>
        </w:rPr>
      </w:pPr>
      <w:r>
        <w:rPr>
          <w:sz w:val="18"/>
        </w:rPr>
        <w:t>Initiatives and services that embed elements of co-design and strong community voice are more likely to be well received by community members. There is a need to identify, showcase and scale successful service delivery</w:t>
      </w:r>
      <w:r>
        <w:rPr>
          <w:spacing w:val="-5"/>
          <w:sz w:val="18"/>
        </w:rPr>
        <w:t> </w:t>
      </w:r>
      <w:r>
        <w:rPr>
          <w:sz w:val="18"/>
        </w:rPr>
        <w:t>models.</w:t>
      </w:r>
    </w:p>
    <w:p>
      <w:pPr>
        <w:pStyle w:val="ListParagraph"/>
        <w:numPr>
          <w:ilvl w:val="0"/>
          <w:numId w:val="34"/>
        </w:numPr>
        <w:tabs>
          <w:tab w:pos="661" w:val="left" w:leader="none"/>
        </w:tabs>
        <w:spacing w:line="217" w:lineRule="exact" w:before="0" w:after="0"/>
        <w:ind w:left="660" w:right="0" w:hanging="361"/>
        <w:jc w:val="left"/>
        <w:rPr>
          <w:sz w:val="18"/>
        </w:rPr>
      </w:pPr>
      <w:r>
        <w:rPr>
          <w:sz w:val="18"/>
        </w:rPr>
        <w:t>The recent changes to legislation and governance arrangements are commended as they</w:t>
      </w:r>
      <w:r>
        <w:rPr>
          <w:spacing w:val="-21"/>
          <w:sz w:val="18"/>
        </w:rPr>
        <w:t> </w:t>
      </w:r>
      <w:r>
        <w:rPr>
          <w:sz w:val="18"/>
        </w:rPr>
        <w:t>echo</w:t>
      </w:r>
    </w:p>
    <w:p>
      <w:pPr>
        <w:pStyle w:val="BodyText"/>
        <w:spacing w:before="17"/>
        <w:ind w:left="660"/>
      </w:pPr>
      <w:r>
        <w:rPr/>
        <w:t>the broader community’s aspirations to have self-determination.</w:t>
      </w:r>
    </w:p>
    <w:p>
      <w:pPr>
        <w:pStyle w:val="BodyText"/>
        <w:spacing w:before="3"/>
        <w:rPr>
          <w:sz w:val="13"/>
        </w:rPr>
      </w:pPr>
    </w:p>
    <w:p>
      <w:pPr>
        <w:pStyle w:val="Heading4"/>
        <w:spacing w:before="100"/>
      </w:pPr>
      <w:r>
        <w:rPr/>
        <w:t>Barriers</w:t>
      </w:r>
    </w:p>
    <w:p>
      <w:pPr>
        <w:pStyle w:val="ListParagraph"/>
        <w:numPr>
          <w:ilvl w:val="0"/>
          <w:numId w:val="34"/>
        </w:numPr>
        <w:tabs>
          <w:tab w:pos="661" w:val="left" w:leader="none"/>
        </w:tabs>
        <w:spacing w:line="240" w:lineRule="auto" w:before="192" w:after="0"/>
        <w:ind w:left="660" w:right="0" w:hanging="361"/>
        <w:jc w:val="left"/>
        <w:rPr>
          <w:sz w:val="18"/>
        </w:rPr>
      </w:pPr>
      <w:r>
        <w:rPr>
          <w:sz w:val="18"/>
        </w:rPr>
        <w:t>There is a need to call out and address systemic racism that continues to exist in the</w:t>
      </w:r>
      <w:r>
        <w:rPr>
          <w:spacing w:val="-23"/>
          <w:sz w:val="18"/>
        </w:rPr>
        <w:t> </w:t>
      </w:r>
      <w:r>
        <w:rPr>
          <w:sz w:val="18"/>
        </w:rPr>
        <w:t>system.</w:t>
      </w:r>
    </w:p>
    <w:p>
      <w:pPr>
        <w:pStyle w:val="ListParagraph"/>
        <w:numPr>
          <w:ilvl w:val="0"/>
          <w:numId w:val="34"/>
        </w:numPr>
        <w:tabs>
          <w:tab w:pos="661" w:val="left" w:leader="none"/>
        </w:tabs>
        <w:spacing w:line="264" w:lineRule="auto" w:before="21" w:after="0"/>
        <w:ind w:left="660" w:right="817" w:hanging="360"/>
        <w:jc w:val="left"/>
        <w:rPr>
          <w:sz w:val="18"/>
        </w:rPr>
      </w:pPr>
      <w:r>
        <w:rPr>
          <w:sz w:val="18"/>
        </w:rPr>
        <w:t>Since the implementation of </w:t>
      </w:r>
      <w:r>
        <w:rPr>
          <w:i/>
          <w:sz w:val="18"/>
        </w:rPr>
        <w:t>Our Way</w:t>
      </w:r>
      <w:r>
        <w:rPr>
          <w:sz w:val="18"/>
        </w:rPr>
        <w:t>, service providers and community members reported only limited improvement to the quality, safety and provision of targeted services. This largely reflects the variation in cultural competency among non-Indigenous</w:t>
      </w:r>
      <w:r>
        <w:rPr>
          <w:spacing w:val="-11"/>
          <w:sz w:val="18"/>
        </w:rPr>
        <w:t> </w:t>
      </w:r>
      <w:r>
        <w:rPr>
          <w:sz w:val="18"/>
        </w:rPr>
        <w:t>organisations.</w:t>
      </w:r>
    </w:p>
    <w:p>
      <w:pPr>
        <w:pStyle w:val="ListParagraph"/>
        <w:numPr>
          <w:ilvl w:val="0"/>
          <w:numId w:val="34"/>
        </w:numPr>
        <w:tabs>
          <w:tab w:pos="661" w:val="left" w:leader="none"/>
        </w:tabs>
        <w:spacing w:line="264" w:lineRule="auto" w:before="0" w:after="0"/>
        <w:ind w:left="660" w:right="971" w:hanging="360"/>
        <w:jc w:val="left"/>
        <w:rPr>
          <w:sz w:val="18"/>
        </w:rPr>
      </w:pPr>
      <w:r>
        <w:rPr>
          <w:sz w:val="18"/>
        </w:rPr>
        <w:t>The fear of losing power, risk aversion and resistance to change also continues to impact the implementation of the</w:t>
      </w:r>
      <w:r>
        <w:rPr>
          <w:spacing w:val="-4"/>
          <w:sz w:val="18"/>
        </w:rPr>
        <w:t> </w:t>
      </w:r>
      <w:r>
        <w:rPr>
          <w:sz w:val="18"/>
        </w:rPr>
        <w:t>strategy.</w:t>
      </w:r>
    </w:p>
    <w:p>
      <w:pPr>
        <w:pStyle w:val="ListParagraph"/>
        <w:numPr>
          <w:ilvl w:val="0"/>
          <w:numId w:val="34"/>
        </w:numPr>
        <w:tabs>
          <w:tab w:pos="661" w:val="left" w:leader="none"/>
        </w:tabs>
        <w:spacing w:line="264" w:lineRule="auto" w:before="0" w:after="0"/>
        <w:ind w:left="660" w:right="1386" w:hanging="360"/>
        <w:jc w:val="left"/>
        <w:rPr>
          <w:sz w:val="18"/>
        </w:rPr>
      </w:pPr>
      <w:r>
        <w:rPr>
          <w:sz w:val="18"/>
        </w:rPr>
        <w:t>The strength of accountability mechanisms associated with </w:t>
      </w:r>
      <w:r>
        <w:rPr>
          <w:i/>
          <w:sz w:val="18"/>
        </w:rPr>
        <w:t>Our Way </w:t>
      </w:r>
      <w:r>
        <w:rPr>
          <w:sz w:val="18"/>
        </w:rPr>
        <w:t>continue to vary by agency type and across different levels of</w:t>
      </w:r>
      <w:r>
        <w:rPr>
          <w:spacing w:val="-11"/>
          <w:sz w:val="18"/>
        </w:rPr>
        <w:t> </w:t>
      </w:r>
      <w:r>
        <w:rPr>
          <w:sz w:val="18"/>
        </w:rPr>
        <w:t>government.</w:t>
      </w:r>
    </w:p>
    <w:p>
      <w:pPr>
        <w:pStyle w:val="ListParagraph"/>
        <w:numPr>
          <w:ilvl w:val="0"/>
          <w:numId w:val="34"/>
        </w:numPr>
        <w:tabs>
          <w:tab w:pos="661" w:val="left" w:leader="none"/>
        </w:tabs>
        <w:spacing w:line="264" w:lineRule="auto" w:before="0" w:after="0"/>
        <w:ind w:left="660" w:right="973" w:hanging="360"/>
        <w:jc w:val="left"/>
        <w:rPr>
          <w:i/>
          <w:sz w:val="18"/>
        </w:rPr>
      </w:pPr>
      <w:r>
        <w:rPr>
          <w:sz w:val="18"/>
        </w:rPr>
        <w:t>More supportive funding and procurement arrangements are also required to enable ongoing systems change advocated by </w:t>
      </w:r>
      <w:r>
        <w:rPr>
          <w:i/>
          <w:sz w:val="18"/>
        </w:rPr>
        <w:t>Our</w:t>
      </w:r>
      <w:r>
        <w:rPr>
          <w:i/>
          <w:spacing w:val="-9"/>
          <w:sz w:val="18"/>
        </w:rPr>
        <w:t> </w:t>
      </w:r>
      <w:r>
        <w:rPr>
          <w:i/>
          <w:sz w:val="18"/>
        </w:rPr>
        <w:t>Way.</w:t>
      </w:r>
    </w:p>
    <w:p>
      <w:pPr>
        <w:pStyle w:val="Heading4"/>
        <w:spacing w:before="165"/>
        <w:rPr>
          <w:i/>
        </w:rPr>
      </w:pPr>
      <w:r>
        <w:rPr/>
        <w:t>Lessons for the future implementation of </w:t>
      </w:r>
      <w:r>
        <w:rPr>
          <w:i/>
        </w:rPr>
        <w:t>Our Way</w:t>
      </w:r>
    </w:p>
    <w:p>
      <w:pPr>
        <w:pStyle w:val="BodyText"/>
        <w:spacing w:before="192"/>
        <w:ind w:left="300"/>
        <w:rPr>
          <w:i/>
        </w:rPr>
      </w:pPr>
      <w:r>
        <w:rPr/>
        <w:t>There are three main suggested lessons to strengthen the implementation of future </w:t>
      </w:r>
      <w:r>
        <w:rPr>
          <w:i/>
        </w:rPr>
        <w:t>Our Way</w:t>
      </w:r>
    </w:p>
    <w:p>
      <w:pPr>
        <w:pStyle w:val="BodyText"/>
        <w:spacing w:before="21"/>
        <w:ind w:left="300"/>
      </w:pPr>
      <w:r>
        <w:rPr/>
        <w:t>action plans:</w:t>
      </w:r>
    </w:p>
    <w:p>
      <w:pPr>
        <w:pStyle w:val="ListParagraph"/>
        <w:numPr>
          <w:ilvl w:val="0"/>
          <w:numId w:val="34"/>
        </w:numPr>
        <w:tabs>
          <w:tab w:pos="661" w:val="left" w:leader="none"/>
        </w:tabs>
        <w:spacing w:line="264" w:lineRule="auto" w:before="192" w:after="0"/>
        <w:ind w:left="660" w:right="901" w:hanging="360"/>
        <w:jc w:val="left"/>
        <w:rPr>
          <w:sz w:val="18"/>
        </w:rPr>
      </w:pPr>
      <w:r>
        <w:rPr>
          <w:sz w:val="18"/>
        </w:rPr>
        <w:t>Increase focus on early intervention so that Aboriginal and Torres Strait Islander children do not enter the child protection system in the first place. Culture needs to be recognised as a critical protective factor which increases the resilience of Aboriginal and Torres Strait Islander families.</w:t>
      </w:r>
    </w:p>
    <w:p>
      <w:pPr>
        <w:pStyle w:val="ListParagraph"/>
        <w:numPr>
          <w:ilvl w:val="0"/>
          <w:numId w:val="34"/>
        </w:numPr>
        <w:tabs>
          <w:tab w:pos="661" w:val="left" w:leader="none"/>
        </w:tabs>
        <w:spacing w:line="264" w:lineRule="auto" w:before="0" w:after="0"/>
        <w:ind w:left="660" w:right="811" w:hanging="360"/>
        <w:jc w:val="left"/>
        <w:rPr>
          <w:sz w:val="18"/>
        </w:rPr>
      </w:pPr>
      <w:r>
        <w:rPr>
          <w:sz w:val="18"/>
        </w:rPr>
        <w:t>Ensure that future </w:t>
      </w:r>
      <w:r>
        <w:rPr>
          <w:i/>
          <w:sz w:val="18"/>
        </w:rPr>
        <w:t>Our Way </w:t>
      </w:r>
      <w:r>
        <w:rPr>
          <w:sz w:val="18"/>
        </w:rPr>
        <w:t>actions are bolder and more transformative to achieve the desired change in the</w:t>
      </w:r>
      <w:r>
        <w:rPr>
          <w:spacing w:val="-3"/>
          <w:sz w:val="18"/>
        </w:rPr>
        <w:t> </w:t>
      </w:r>
      <w:r>
        <w:rPr>
          <w:sz w:val="18"/>
        </w:rPr>
        <w:t>system.</w:t>
      </w:r>
    </w:p>
    <w:p>
      <w:pPr>
        <w:pStyle w:val="ListParagraph"/>
        <w:numPr>
          <w:ilvl w:val="0"/>
          <w:numId w:val="34"/>
        </w:numPr>
        <w:tabs>
          <w:tab w:pos="661" w:val="left" w:leader="none"/>
        </w:tabs>
        <w:spacing w:line="264" w:lineRule="auto" w:before="0" w:after="0"/>
        <w:ind w:left="660" w:right="1120" w:hanging="360"/>
        <w:jc w:val="left"/>
        <w:rPr>
          <w:sz w:val="18"/>
        </w:rPr>
      </w:pPr>
      <w:r>
        <w:rPr>
          <w:sz w:val="18"/>
        </w:rPr>
        <w:t>Strengthen data collection mechanisms which incorporate community voice to measure the success of the</w:t>
      </w:r>
      <w:r>
        <w:rPr>
          <w:spacing w:val="-5"/>
          <w:sz w:val="18"/>
        </w:rPr>
        <w:t> </w:t>
      </w:r>
      <w:r>
        <w:rPr>
          <w:sz w:val="18"/>
        </w:rPr>
        <w:t>strategy.</w:t>
      </w:r>
    </w:p>
    <w:p>
      <w:pPr>
        <w:pStyle w:val="BodyText"/>
        <w:spacing w:before="7"/>
      </w:pPr>
    </w:p>
    <w:p>
      <w:pPr>
        <w:pStyle w:val="Heading2"/>
        <w:numPr>
          <w:ilvl w:val="1"/>
          <w:numId w:val="24"/>
        </w:numPr>
        <w:tabs>
          <w:tab w:pos="1094" w:val="left" w:leader="none"/>
          <w:tab w:pos="1095" w:val="left" w:leader="none"/>
        </w:tabs>
        <w:spacing w:line="240" w:lineRule="auto" w:before="0" w:after="0"/>
        <w:ind w:left="1094" w:right="0" w:hanging="795"/>
        <w:jc w:val="left"/>
      </w:pPr>
      <w:bookmarkStart w:name="_bookmark68" w:id="106"/>
      <w:bookmarkEnd w:id="106"/>
      <w:r>
        <w:rPr>
          <w:b w:val="0"/>
        </w:rPr>
      </w:r>
      <w:bookmarkStart w:name="_bookmark68" w:id="107"/>
      <w:bookmarkEnd w:id="107"/>
      <w:r>
        <w:rPr>
          <w:color w:val="61B5E4"/>
        </w:rPr>
        <w:t>Co</w:t>
      </w:r>
      <w:r>
        <w:rPr>
          <w:color w:val="61B5E4"/>
        </w:rPr>
        <w:t>ntext</w:t>
      </w:r>
    </w:p>
    <w:p>
      <w:pPr>
        <w:pStyle w:val="BodyText"/>
        <w:spacing w:before="20"/>
        <w:ind w:left="300"/>
      </w:pPr>
      <w:r>
        <w:rPr/>
        <w:t>This chapter provides an assessment of:</w:t>
      </w:r>
    </w:p>
    <w:p>
      <w:pPr>
        <w:pStyle w:val="ListParagraph"/>
        <w:numPr>
          <w:ilvl w:val="1"/>
          <w:numId w:val="33"/>
        </w:numPr>
        <w:tabs>
          <w:tab w:pos="660" w:val="left" w:leader="none"/>
          <w:tab w:pos="661" w:val="left" w:leader="none"/>
        </w:tabs>
        <w:spacing w:line="261" w:lineRule="auto" w:before="192" w:after="0"/>
        <w:ind w:left="660" w:right="1143" w:hanging="360"/>
        <w:jc w:val="left"/>
        <w:rPr>
          <w:sz w:val="18"/>
        </w:rPr>
      </w:pPr>
      <w:r>
        <w:rPr>
          <w:sz w:val="18"/>
        </w:rPr>
        <w:t>the barriers and enablers which have helped or hindered positive changes in the system as advocated by </w:t>
      </w:r>
      <w:r>
        <w:rPr>
          <w:i/>
          <w:sz w:val="18"/>
        </w:rPr>
        <w:t>Our Way </w:t>
      </w:r>
      <w:r>
        <w:rPr>
          <w:sz w:val="18"/>
        </w:rPr>
        <w:t>(see Section </w:t>
      </w:r>
      <w:hyperlink w:history="true" w:anchor="_bookmark69">
        <w:r>
          <w:rPr>
            <w:sz w:val="18"/>
          </w:rPr>
          <w:t>5.2 </w:t>
        </w:r>
      </w:hyperlink>
      <w:r>
        <w:rPr>
          <w:sz w:val="18"/>
        </w:rPr>
        <w:t>and Section</w:t>
      </w:r>
      <w:r>
        <w:rPr>
          <w:spacing w:val="-8"/>
          <w:sz w:val="18"/>
        </w:rPr>
        <w:t> </w:t>
      </w:r>
      <w:hyperlink w:history="true" w:anchor="_bookmark73">
        <w:r>
          <w:rPr>
            <w:sz w:val="18"/>
          </w:rPr>
          <w:t>5.3</w:t>
        </w:r>
      </w:hyperlink>
      <w:r>
        <w:rPr>
          <w:sz w:val="18"/>
        </w:rPr>
        <w:t>).</w:t>
      </w:r>
    </w:p>
    <w:p>
      <w:pPr>
        <w:pStyle w:val="ListParagraph"/>
        <w:numPr>
          <w:ilvl w:val="1"/>
          <w:numId w:val="33"/>
        </w:numPr>
        <w:tabs>
          <w:tab w:pos="660" w:val="left" w:leader="none"/>
          <w:tab w:pos="661" w:val="left" w:leader="none"/>
        </w:tabs>
        <w:spacing w:line="261" w:lineRule="auto" w:before="2" w:after="0"/>
        <w:ind w:left="660" w:right="983" w:hanging="360"/>
        <w:jc w:val="left"/>
        <w:rPr>
          <w:sz w:val="18"/>
        </w:rPr>
      </w:pPr>
      <w:r>
        <w:rPr>
          <w:sz w:val="18"/>
        </w:rPr>
        <w:t>the key learnings to support the future implementation of the remaining action plans for </w:t>
      </w:r>
      <w:r>
        <w:rPr>
          <w:i/>
          <w:sz w:val="18"/>
        </w:rPr>
        <w:t>Our </w:t>
      </w:r>
      <w:r>
        <w:rPr>
          <w:i/>
          <w:sz w:val="18"/>
        </w:rPr>
        <w:t>Way </w:t>
      </w:r>
      <w:r>
        <w:rPr>
          <w:sz w:val="18"/>
        </w:rPr>
        <w:t>(see Section</w:t>
      </w:r>
      <w:r>
        <w:rPr>
          <w:spacing w:val="-2"/>
          <w:sz w:val="18"/>
        </w:rPr>
        <w:t> </w:t>
      </w:r>
      <w:hyperlink w:history="true" w:anchor="_bookmark80">
        <w:r>
          <w:rPr>
            <w:sz w:val="18"/>
          </w:rPr>
          <w:t>5.4</w:t>
        </w:r>
      </w:hyperlink>
      <w:r>
        <w:rPr>
          <w:sz w:val="18"/>
        </w:rPr>
        <w:t>).</w:t>
      </w:r>
    </w:p>
    <w:p>
      <w:pPr>
        <w:spacing w:after="0" w:line="261" w:lineRule="auto"/>
        <w:jc w:val="left"/>
        <w:rPr>
          <w:sz w:val="18"/>
        </w:rPr>
        <w:sectPr>
          <w:pgSz w:w="11910" w:h="16840"/>
          <w:pgMar w:header="650" w:footer="420" w:top="1340" w:bottom="620" w:left="1140" w:right="700"/>
        </w:sectPr>
      </w:pPr>
    </w:p>
    <w:p>
      <w:pPr>
        <w:pStyle w:val="Heading2"/>
        <w:numPr>
          <w:ilvl w:val="1"/>
          <w:numId w:val="24"/>
        </w:numPr>
        <w:tabs>
          <w:tab w:pos="1094" w:val="left" w:leader="none"/>
          <w:tab w:pos="1095" w:val="left" w:leader="none"/>
        </w:tabs>
        <w:spacing w:line="240" w:lineRule="auto" w:before="102" w:after="0"/>
        <w:ind w:left="1094" w:right="0" w:hanging="795"/>
        <w:jc w:val="left"/>
      </w:pPr>
      <w:bookmarkStart w:name="_bookmark69" w:id="108"/>
      <w:bookmarkEnd w:id="108"/>
      <w:r>
        <w:rPr>
          <w:b w:val="0"/>
        </w:rPr>
      </w:r>
      <w:bookmarkStart w:name="_bookmark69" w:id="109"/>
      <w:bookmarkEnd w:id="109"/>
      <w:r>
        <w:rPr>
          <w:color w:val="61B5E4"/>
        </w:rPr>
        <w:t>I</w:t>
      </w:r>
      <w:r>
        <w:rPr>
          <w:color w:val="61B5E4"/>
        </w:rPr>
        <w:t>mplementation</w:t>
      </w:r>
      <w:r>
        <w:rPr>
          <w:color w:val="61B5E4"/>
          <w:spacing w:val="-2"/>
        </w:rPr>
        <w:t> </w:t>
      </w:r>
      <w:r>
        <w:rPr>
          <w:color w:val="61B5E4"/>
        </w:rPr>
        <w:t>enablers</w:t>
      </w:r>
    </w:p>
    <w:p>
      <w:pPr>
        <w:pStyle w:val="BodyText"/>
        <w:spacing w:line="264" w:lineRule="auto" w:before="20"/>
        <w:ind w:left="300" w:right="989"/>
      </w:pPr>
      <w:r>
        <w:rPr/>
        <w:t>This evaluation has identified three key enablers which have facilitated implementation of </w:t>
      </w:r>
      <w:r>
        <w:rPr>
          <w:i/>
        </w:rPr>
        <w:t>Our </w:t>
      </w:r>
      <w:r>
        <w:rPr>
          <w:i/>
        </w:rPr>
        <w:t>Way</w:t>
      </w:r>
      <w:r>
        <w:rPr/>
        <w:t>. They include trust and empowerment of the community-controlled sector, the co-design of activities and initiatives and changes in governance arrangements which support more genuine and respectful partnerships between non-Indigenous service providers and the community- controlled sector. These enablers are elaborated in greater detail below.</w:t>
      </w:r>
    </w:p>
    <w:p>
      <w:pPr>
        <w:pStyle w:val="Heading4"/>
        <w:numPr>
          <w:ilvl w:val="2"/>
          <w:numId w:val="24"/>
        </w:numPr>
        <w:tabs>
          <w:tab w:pos="1320" w:val="left" w:leader="none"/>
          <w:tab w:pos="1321" w:val="left" w:leader="none"/>
        </w:tabs>
        <w:spacing w:line="240" w:lineRule="auto" w:before="167" w:after="0"/>
        <w:ind w:left="1320" w:right="0" w:hanging="1021"/>
        <w:jc w:val="left"/>
      </w:pPr>
      <w:bookmarkStart w:name="_bookmark70" w:id="110"/>
      <w:bookmarkEnd w:id="110"/>
      <w:r>
        <w:rPr>
          <w:b w:val="0"/>
        </w:rPr>
      </w:r>
      <w:bookmarkStart w:name="_bookmark70" w:id="111"/>
      <w:bookmarkEnd w:id="111"/>
      <w:r>
        <w:rPr/>
        <w:t>T</w:t>
      </w:r>
      <w:r>
        <w:rPr/>
        <w:t>rust and empowerment of the community-controlled</w:t>
      </w:r>
      <w:r>
        <w:rPr>
          <w:spacing w:val="-5"/>
        </w:rPr>
        <w:t> </w:t>
      </w:r>
      <w:r>
        <w:rPr/>
        <w:t>sector</w:t>
      </w:r>
    </w:p>
    <w:p>
      <w:pPr>
        <w:spacing w:line="264" w:lineRule="auto" w:before="22"/>
        <w:ind w:left="300" w:right="763" w:firstLine="0"/>
        <w:jc w:val="left"/>
        <w:rPr>
          <w:b/>
          <w:sz w:val="18"/>
        </w:rPr>
      </w:pPr>
      <w:r>
        <w:rPr>
          <w:b/>
          <w:color w:val="0096A9"/>
          <w:sz w:val="18"/>
        </w:rPr>
        <w:t>There is evidence of greater trust and empowerment of the community-controlled sector which has improved Aboriginal and Torres Strait Islander peoples’ access to more culturally appropriate services.</w:t>
      </w:r>
    </w:p>
    <w:p>
      <w:pPr>
        <w:pStyle w:val="BodyText"/>
        <w:spacing w:line="264" w:lineRule="auto" w:before="166"/>
        <w:ind w:left="300" w:right="777"/>
        <w:rPr>
          <w:i/>
        </w:rPr>
      </w:pPr>
      <w:r>
        <w:rPr/>
        <w:t>There are early indications that the Queensland Government has been prioritising investment in ACCOs. Queensland leads nationally in the proportion of expenditure provided to ACCOs for family support and intensive family support services.</w:t>
      </w:r>
      <w:r>
        <w:rPr>
          <w:position w:val="6"/>
          <w:sz w:val="12"/>
        </w:rPr>
        <w:t>15 </w:t>
      </w:r>
      <w:r>
        <w:rPr/>
        <w:t>This has contributed to increased availability of services for Aboriginal and Torres Strait Islander peoples, and in some instances, improved client access. An example of this is the delivery of the Aboriginal and Torres Strait Islander Family Wellbeing Services (FWS) which seeks to draw on the cultural authority and experience of ACCOs to design and implement flexible models of integrated service delivery to improve the safety and living conditions of Aboriginal and Torres Strait Islander families who may be experiencing vulnerabilities. An implementation and outcomes evaluation of the FWS program has observed a high level of success in de-escalating risks and addressing family needs, with 93 per cent of children and families that completed a FWS requiring no further investigation by child protection in the following six months. On FWS, one stakeholder said </w:t>
      </w:r>
      <w:r>
        <w:rPr>
          <w:i/>
          <w:color w:val="85BB24"/>
        </w:rPr>
        <w:t>“the state did an amazing job in investing </w:t>
      </w:r>
      <w:r>
        <w:rPr>
          <w:i/>
          <w:color w:val="85BB24"/>
        </w:rPr>
        <w:t>in FWS. They need to have a leap of faith and support the collective growth of this system”.</w:t>
      </w:r>
    </w:p>
    <w:p>
      <w:pPr>
        <w:pStyle w:val="Heading4"/>
        <w:spacing w:line="264" w:lineRule="auto" w:before="162"/>
        <w:ind w:right="1254"/>
      </w:pPr>
      <w:r>
        <w:rPr>
          <w:color w:val="0096A9"/>
        </w:rPr>
        <w:t>Notwithstanding these positive developments, there is scope for the Government to work in genuine partnership with the community to support the sustainable development of the community-controlled sector. This extends beyond financial resourcing and includes capability building supports and workforce development.</w:t>
      </w:r>
    </w:p>
    <w:p>
      <w:pPr>
        <w:pStyle w:val="BodyText"/>
        <w:spacing w:line="264" w:lineRule="auto" w:before="169"/>
        <w:ind w:left="300" w:right="821"/>
      </w:pPr>
      <w:r>
        <w:rPr/>
        <w:t>Thus far, there has been some progress in the delegation of statutory powers to ACCOs when a child protection case involves an Aboriginal and Torres Strait Islander children. For example, the </w:t>
      </w:r>
      <w:r>
        <w:rPr>
          <w:i/>
        </w:rPr>
        <w:t>Child Protection Act 1999 </w:t>
      </w:r>
      <w:r>
        <w:rPr/>
        <w:t>was amended in 2019 to state that a relevant chief executive may delegate 1 or more of the chief executive’s functions or powers under this Act in relation to an Aboriginal or Torres Strait Islander child who is (a) a child in need of protection; or (b) likely to become a child in need of protection. This allows the CEO of an ACCO to make decisions for the child in relation to child protection matters. One of the factors that Government needs to consider to ensure that the delegation of authority can be successfully implemented at a larger scale, is how Government will successfully transition responsibilities to ACCOs. ACCOs need to be supported to succeed from the start. QATSICPP and other sector peak agencies including non- Indigenous peak agencies, will need to have a significant role in the ongoing development of the ACCO sector; with QATSICPP continuing to partner with DCYJMA on the state-wide blueprint for implementation of delegated authority and accompanying sector development</w:t>
      </w:r>
      <w:r>
        <w:rPr>
          <w:spacing w:val="-19"/>
        </w:rPr>
        <w:t> </w:t>
      </w:r>
      <w:r>
        <w:rPr/>
        <w:t>activities.</w:t>
      </w:r>
    </w:p>
    <w:p>
      <w:pPr>
        <w:pStyle w:val="BodyText"/>
        <w:spacing w:line="264" w:lineRule="auto" w:before="162"/>
        <w:ind w:left="300" w:right="751"/>
      </w:pPr>
      <w:r>
        <w:rPr/>
        <w:t>Stakeholders highlighted several factors that are currently hampering the sustainable development of the community-controlled sector, including:</w:t>
      </w:r>
    </w:p>
    <w:p>
      <w:pPr>
        <w:pStyle w:val="ListParagraph"/>
        <w:numPr>
          <w:ilvl w:val="1"/>
          <w:numId w:val="33"/>
        </w:numPr>
        <w:tabs>
          <w:tab w:pos="660" w:val="left" w:leader="none"/>
          <w:tab w:pos="661" w:val="left" w:leader="none"/>
        </w:tabs>
        <w:spacing w:line="264" w:lineRule="auto" w:before="170" w:after="0"/>
        <w:ind w:left="660" w:right="793" w:hanging="360"/>
        <w:jc w:val="left"/>
        <w:rPr>
          <w:i/>
          <w:sz w:val="18"/>
        </w:rPr>
      </w:pPr>
      <w:r>
        <w:rPr>
          <w:b/>
          <w:sz w:val="18"/>
        </w:rPr>
        <w:t>A general lack of trust</w:t>
      </w:r>
      <w:r>
        <w:rPr>
          <w:sz w:val="18"/>
        </w:rPr>
        <w:t>. There is scope for greater empowerment and trust in ACCOs to deliver services. Not all frontline agencies have recognised that ACCOs are best placed to work with Aboriginal and Torres Strait Islander families and communities</w:t>
      </w:r>
      <w:r>
        <w:rPr>
          <w:position w:val="6"/>
          <w:sz w:val="12"/>
        </w:rPr>
        <w:t>16</w:t>
      </w:r>
      <w:r>
        <w:rPr>
          <w:sz w:val="18"/>
        </w:rPr>
        <w:t>. This has contributed to power imbalances that continue to persist in some existing partnerships. One stakeholder recommended for there to be </w:t>
      </w:r>
      <w:r>
        <w:rPr>
          <w:i/>
          <w:color w:val="85BB24"/>
          <w:sz w:val="18"/>
        </w:rPr>
        <w:t>“better planning between government and ACCOS so that the </w:t>
      </w:r>
      <w:r>
        <w:rPr>
          <w:i/>
          <w:color w:val="85BB24"/>
          <w:sz w:val="18"/>
        </w:rPr>
        <w:t>approach can be collaborative instead of a master-servant</w:t>
      </w:r>
      <w:r>
        <w:rPr>
          <w:i/>
          <w:color w:val="85BB24"/>
          <w:spacing w:val="-11"/>
          <w:sz w:val="18"/>
        </w:rPr>
        <w:t> </w:t>
      </w:r>
      <w:r>
        <w:rPr>
          <w:i/>
          <w:color w:val="85BB24"/>
          <w:sz w:val="18"/>
        </w:rPr>
        <w:t>dynamic”.</w:t>
      </w:r>
    </w:p>
    <w:p>
      <w:pPr>
        <w:pStyle w:val="BodyText"/>
        <w:spacing w:before="9"/>
        <w:rPr>
          <w:i/>
          <w:sz w:val="29"/>
        </w:rPr>
      </w:pPr>
      <w:r>
        <w:rPr/>
        <w:pict>
          <v:shape style="position:absolute;margin-left:72.024002pt;margin-top:20.275616pt;width:144.050pt;height:.1pt;mso-position-horizontal-relative:page;mso-position-vertical-relative:paragraph;z-index:-251522048;mso-wrap-distance-left:0;mso-wrap-distance-right:0" coordorigin="1440,406" coordsize="2881,0" path="m1440,406l4321,406e" filled="false" stroked="true" strokeweight=".47998pt" strokecolor="#000000">
            <v:path arrowok="t"/>
            <v:stroke dashstyle="solid"/>
            <w10:wrap type="topAndBottom"/>
          </v:shape>
        </w:pict>
      </w:r>
    </w:p>
    <w:p>
      <w:pPr>
        <w:pStyle w:val="BodyText"/>
        <w:spacing w:before="8"/>
        <w:rPr>
          <w:i/>
          <w:sz w:val="10"/>
        </w:rPr>
      </w:pPr>
    </w:p>
    <w:p>
      <w:pPr>
        <w:spacing w:before="101"/>
        <w:ind w:left="300" w:right="0" w:firstLine="0"/>
        <w:jc w:val="left"/>
        <w:rPr>
          <w:sz w:val="14"/>
        </w:rPr>
      </w:pPr>
      <w:r>
        <w:rPr>
          <w:position w:val="5"/>
          <w:sz w:val="9"/>
        </w:rPr>
        <w:t>15 </w:t>
      </w:r>
      <w:r>
        <w:rPr>
          <w:sz w:val="14"/>
        </w:rPr>
        <w:t>Family Matters Report 2021</w:t>
      </w:r>
    </w:p>
    <w:p>
      <w:pPr>
        <w:spacing w:before="1"/>
        <w:ind w:left="300" w:right="1045" w:firstLine="0"/>
        <w:jc w:val="left"/>
        <w:rPr>
          <w:sz w:val="14"/>
        </w:rPr>
      </w:pPr>
      <w:r>
        <w:rPr>
          <w:position w:val="5"/>
          <w:sz w:val="9"/>
        </w:rPr>
        <w:t>16 </w:t>
      </w:r>
      <w:r>
        <w:rPr>
          <w:sz w:val="14"/>
        </w:rPr>
        <w:t>It is acknowledged that this finding contrasts with workshop feedback where stakeholders perceived that ACCOs are best placed to provide service for their communities. This reflects differences in perception among different government stakeholders.</w:t>
      </w:r>
    </w:p>
    <w:p>
      <w:pPr>
        <w:spacing w:after="0"/>
        <w:jc w:val="left"/>
        <w:rPr>
          <w:sz w:val="14"/>
        </w:rPr>
        <w:sectPr>
          <w:pgSz w:w="11910" w:h="16840"/>
          <w:pgMar w:header="650" w:footer="420" w:top="1340" w:bottom="620" w:left="1140" w:right="700"/>
        </w:sectPr>
      </w:pPr>
    </w:p>
    <w:p>
      <w:pPr>
        <w:pStyle w:val="ListParagraph"/>
        <w:numPr>
          <w:ilvl w:val="1"/>
          <w:numId w:val="33"/>
        </w:numPr>
        <w:tabs>
          <w:tab w:pos="660" w:val="left" w:leader="none"/>
          <w:tab w:pos="661" w:val="left" w:leader="none"/>
        </w:tabs>
        <w:spacing w:line="264" w:lineRule="auto" w:before="109" w:after="0"/>
        <w:ind w:left="660" w:right="742" w:hanging="360"/>
        <w:jc w:val="left"/>
        <w:rPr>
          <w:sz w:val="18"/>
        </w:rPr>
      </w:pPr>
      <w:r>
        <w:rPr>
          <w:b/>
          <w:sz w:val="18"/>
        </w:rPr>
        <w:t>Resourcing constraints</w:t>
      </w:r>
      <w:r>
        <w:rPr>
          <w:sz w:val="18"/>
        </w:rPr>
        <w:t>. Stakeholders observed that some ACCOs are not sufficiently resourced to be able to deliver functions beyond direct service delivery such as performance measurement and governance arrangements. This represents an opportunity to consider how to support ACCOs to effectively scale their delivery model. Additionally, short-term funding arrangements are also said to not support an accelerated pace of capability development within the community-controlled sector. Although, stakeholders cautioned that the solution to strengthen community-controlled sector is not solely through additional funding. There should also be consideration of additional guidance to support the ongoing transition of responsibilities to the community-controlled</w:t>
      </w:r>
      <w:r>
        <w:rPr>
          <w:spacing w:val="-3"/>
          <w:sz w:val="18"/>
        </w:rPr>
        <w:t> </w:t>
      </w:r>
      <w:r>
        <w:rPr>
          <w:sz w:val="18"/>
        </w:rPr>
        <w:t>sector.</w:t>
      </w:r>
    </w:p>
    <w:p>
      <w:pPr>
        <w:pStyle w:val="ListParagraph"/>
        <w:numPr>
          <w:ilvl w:val="1"/>
          <w:numId w:val="33"/>
        </w:numPr>
        <w:tabs>
          <w:tab w:pos="660" w:val="left" w:leader="none"/>
          <w:tab w:pos="661" w:val="left" w:leader="none"/>
        </w:tabs>
        <w:spacing w:line="261" w:lineRule="auto" w:before="0" w:after="0"/>
        <w:ind w:left="660" w:right="861" w:hanging="360"/>
        <w:jc w:val="left"/>
        <w:rPr>
          <w:sz w:val="18"/>
        </w:rPr>
      </w:pPr>
      <w:r>
        <w:rPr>
          <w:b/>
          <w:sz w:val="18"/>
        </w:rPr>
        <w:t>Workforce development challenges</w:t>
      </w:r>
      <w:r>
        <w:rPr>
          <w:sz w:val="18"/>
        </w:rPr>
        <w:t>. Stakeholders noted that the community-controlled sector faces workforce attraction and retention challenges, due in part to the limited supply of Aboriginal and Torres Strait Islander workers in the sector. This is evidenced by examples of service providers continuously poaching talent from</w:t>
      </w:r>
      <w:r>
        <w:rPr>
          <w:spacing w:val="-12"/>
          <w:sz w:val="18"/>
        </w:rPr>
        <w:t> </w:t>
      </w:r>
      <w:r>
        <w:rPr>
          <w:sz w:val="18"/>
        </w:rPr>
        <w:t>others.</w:t>
      </w:r>
    </w:p>
    <w:p>
      <w:pPr>
        <w:pStyle w:val="ListParagraph"/>
        <w:numPr>
          <w:ilvl w:val="1"/>
          <w:numId w:val="33"/>
        </w:numPr>
        <w:tabs>
          <w:tab w:pos="660" w:val="left" w:leader="none"/>
          <w:tab w:pos="661" w:val="left" w:leader="none"/>
        </w:tabs>
        <w:spacing w:line="264" w:lineRule="auto" w:before="0" w:after="0"/>
        <w:ind w:left="660" w:right="742" w:hanging="360"/>
        <w:jc w:val="left"/>
        <w:rPr>
          <w:sz w:val="18"/>
        </w:rPr>
      </w:pPr>
      <w:r>
        <w:rPr>
          <w:b/>
          <w:sz w:val="18"/>
        </w:rPr>
        <w:t>Governance challenges related to hybrid arrangements</w:t>
      </w:r>
      <w:r>
        <w:rPr>
          <w:sz w:val="18"/>
        </w:rPr>
        <w:t>. There is general acknowledgement that the full ownership of programs and services will be progressively transitioned to ACCOs in the next decade. However, in practice, there is insufficient clarity on the role of government, ACCOs and non-Indigenous providers during this transition. ACCOs are said to be less clear on governments’ expectations. This impacts the quality of partnership, as there should be clearly delineated ways of working and shared</w:t>
      </w:r>
      <w:r>
        <w:rPr>
          <w:spacing w:val="-13"/>
          <w:sz w:val="18"/>
        </w:rPr>
        <w:t> </w:t>
      </w:r>
      <w:r>
        <w:rPr>
          <w:sz w:val="18"/>
        </w:rPr>
        <w:t>values.</w:t>
      </w:r>
    </w:p>
    <w:p>
      <w:pPr>
        <w:pStyle w:val="Heading4"/>
        <w:numPr>
          <w:ilvl w:val="2"/>
          <w:numId w:val="24"/>
        </w:numPr>
        <w:tabs>
          <w:tab w:pos="1320" w:val="left" w:leader="none"/>
          <w:tab w:pos="1321" w:val="left" w:leader="none"/>
        </w:tabs>
        <w:spacing w:line="240" w:lineRule="auto" w:before="162" w:after="0"/>
        <w:ind w:left="1320" w:right="0" w:hanging="1021"/>
        <w:jc w:val="left"/>
      </w:pPr>
      <w:bookmarkStart w:name="_bookmark71" w:id="112"/>
      <w:bookmarkEnd w:id="112"/>
      <w:r>
        <w:rPr>
          <w:b w:val="0"/>
        </w:rPr>
      </w:r>
      <w:bookmarkStart w:name="_bookmark71" w:id="113"/>
      <w:bookmarkEnd w:id="113"/>
      <w:r>
        <w:rPr/>
        <w:t>C</w:t>
      </w:r>
      <w:r>
        <w:rPr/>
        <w:t>o-design approach to</w:t>
      </w:r>
      <w:r>
        <w:rPr>
          <w:spacing w:val="-2"/>
        </w:rPr>
        <w:t> </w:t>
      </w:r>
      <w:r>
        <w:rPr/>
        <w:t>activities</w:t>
      </w:r>
    </w:p>
    <w:p>
      <w:pPr>
        <w:spacing w:line="264" w:lineRule="auto" w:before="21"/>
        <w:ind w:left="300" w:right="849" w:firstLine="0"/>
        <w:jc w:val="left"/>
        <w:rPr>
          <w:b/>
          <w:sz w:val="18"/>
        </w:rPr>
      </w:pPr>
      <w:r>
        <w:rPr>
          <w:b/>
          <w:color w:val="0096A9"/>
          <w:sz w:val="18"/>
        </w:rPr>
        <w:t>Initiatives and services that embed co-design and strong community voice are more likely to be well received by community members. There is a need to identify, showcase and scale successful service delivery models.</w:t>
      </w:r>
    </w:p>
    <w:p>
      <w:pPr>
        <w:pStyle w:val="BodyText"/>
        <w:spacing w:line="264" w:lineRule="auto" w:before="168"/>
        <w:ind w:left="300" w:right="761"/>
        <w:rPr>
          <w:i/>
        </w:rPr>
      </w:pPr>
      <w:r>
        <w:rPr/>
        <w:t>Despite the development of common guidance and frameworks to support high quality service delivery (such as the development of the Aboriginal and Torres Strait Islander Child Placement Principle and the </w:t>
      </w:r>
      <w:r>
        <w:rPr>
          <w:i/>
        </w:rPr>
        <w:t>Our Way </w:t>
      </w:r>
      <w:r>
        <w:rPr/>
        <w:t>strategy itself), there remains place-based differences in the quality and cultural appropriateness of service delivery. This is evidenced by observed regional differences in the representation of Aboriginal and Torres Strait Islander children in the child protection system. Some stakeholders noted that some areas have successfully reduced the level of over- representation. This is attributed to a range of factors such as the strength of collaboration with community leaders, the availability of kinship carers and the general capability of ACCOs and / or non-Indigenous service workers. Some government representatives reflected that initiatives which involve elements of co-design (such as involving community leaders in the design of service delivery model) were more likely to be well received and have strong engagement from the community. Genuine co-design is perceived to be one of the mechanisms for community members to have self-determination and choice in the services they engage with. For example, when asked about positive changes to date, one stakeholder said </w:t>
      </w:r>
      <w:r>
        <w:rPr>
          <w:i/>
          <w:color w:val="85BB24"/>
        </w:rPr>
        <w:t>“DCYJMA is taking great steps to engage and </w:t>
      </w:r>
      <w:r>
        <w:rPr>
          <w:i/>
          <w:color w:val="85BB24"/>
        </w:rPr>
        <w:t>seek advice from external stakeholders in relation to Aboriginal and Torres Strait Islander children in care”.</w:t>
      </w:r>
    </w:p>
    <w:p>
      <w:pPr>
        <w:pStyle w:val="BodyText"/>
        <w:spacing w:line="264" w:lineRule="auto" w:before="162"/>
        <w:ind w:left="300" w:right="819"/>
      </w:pPr>
      <w:r>
        <w:rPr/>
        <w:t>Moving forward, it will be important to understand the key success factors underpinning more successful service delivery models in specific areas and how these factors can be replicated across other areas.</w:t>
      </w:r>
    </w:p>
    <w:p>
      <w:pPr>
        <w:pStyle w:val="Heading4"/>
        <w:numPr>
          <w:ilvl w:val="2"/>
          <w:numId w:val="24"/>
        </w:numPr>
        <w:tabs>
          <w:tab w:pos="1320" w:val="left" w:leader="none"/>
          <w:tab w:pos="1321" w:val="left" w:leader="none"/>
        </w:tabs>
        <w:spacing w:line="264" w:lineRule="auto" w:before="166" w:after="0"/>
        <w:ind w:left="1320" w:right="1127" w:hanging="1020"/>
        <w:jc w:val="left"/>
      </w:pPr>
      <w:bookmarkStart w:name="_bookmark72" w:id="114"/>
      <w:bookmarkEnd w:id="114"/>
      <w:r>
        <w:rPr>
          <w:b w:val="0"/>
        </w:rPr>
      </w:r>
      <w:bookmarkStart w:name="_bookmark72" w:id="115"/>
      <w:bookmarkEnd w:id="115"/>
      <w:r>
        <w:rPr/>
        <w:t>G</w:t>
      </w:r>
      <w:r>
        <w:rPr/>
        <w:t>overnance arrangements which support genuine partnership between the community and government</w:t>
      </w:r>
    </w:p>
    <w:p>
      <w:pPr>
        <w:spacing w:line="264" w:lineRule="auto" w:before="0"/>
        <w:ind w:left="300" w:right="760" w:firstLine="0"/>
        <w:jc w:val="left"/>
        <w:rPr>
          <w:b/>
          <w:sz w:val="18"/>
        </w:rPr>
      </w:pPr>
      <w:r>
        <w:rPr>
          <w:b/>
          <w:color w:val="0096A9"/>
          <w:sz w:val="18"/>
        </w:rPr>
        <w:t>The recent changes to legislation and governance arrangements are commended as they echo the broader community’s aspirations to have self-determination.</w:t>
      </w:r>
    </w:p>
    <w:p>
      <w:pPr>
        <w:spacing w:line="264" w:lineRule="auto" w:before="168"/>
        <w:ind w:left="300" w:right="855" w:firstLine="0"/>
        <w:jc w:val="left"/>
        <w:rPr>
          <w:i/>
          <w:sz w:val="18"/>
        </w:rPr>
      </w:pPr>
      <w:r>
        <w:rPr>
          <w:sz w:val="18"/>
        </w:rPr>
        <w:t>There are positive signs that supportive legislation and policy have been implemented since the establishment of </w:t>
      </w:r>
      <w:r>
        <w:rPr>
          <w:i/>
          <w:sz w:val="18"/>
        </w:rPr>
        <w:t>Our Way </w:t>
      </w:r>
      <w:r>
        <w:rPr>
          <w:sz w:val="18"/>
        </w:rPr>
        <w:t>such as the implementation of delegated authority (see Secti</w:t>
      </w:r>
      <w:hyperlink w:history="true" w:anchor="_bookmark70">
        <w:r>
          <w:rPr>
            <w:sz w:val="18"/>
          </w:rPr>
          <w:t>on 5.2.1</w:t>
        </w:r>
      </w:hyperlink>
      <w:r>
        <w:rPr>
          <w:sz w:val="18"/>
        </w:rPr>
        <w:t>). Additionally, the establishment of the Queensland First Children and Families Board is seen as a critical driving force of the </w:t>
      </w:r>
      <w:r>
        <w:rPr>
          <w:i/>
          <w:sz w:val="18"/>
        </w:rPr>
        <w:t>Our Way’s </w:t>
      </w:r>
      <w:r>
        <w:rPr>
          <w:sz w:val="18"/>
        </w:rPr>
        <w:t>implementation, as it reflects the Queensland Government’s commitment to working collaboratively with the sector and with Aboriginal and Torres Strait Islander peoples towards better outcomes. One stakeholder said, </w:t>
      </w:r>
      <w:r>
        <w:rPr>
          <w:i/>
          <w:color w:val="85BB24"/>
          <w:sz w:val="18"/>
        </w:rPr>
        <w:t>“the Board was less empowered </w:t>
      </w:r>
      <w:r>
        <w:rPr>
          <w:i/>
          <w:color w:val="85BB24"/>
          <w:sz w:val="18"/>
        </w:rPr>
        <w:t>to speak up initially, but now having been to a few meetings… the Board is an integral part of</w:t>
      </w:r>
    </w:p>
    <w:p>
      <w:pPr>
        <w:spacing w:line="215" w:lineRule="exact" w:before="0"/>
        <w:ind w:left="300" w:right="0" w:firstLine="0"/>
        <w:jc w:val="left"/>
        <w:rPr>
          <w:sz w:val="18"/>
        </w:rPr>
      </w:pPr>
      <w:r>
        <w:rPr>
          <w:i/>
          <w:color w:val="85BB24"/>
          <w:sz w:val="18"/>
        </w:rPr>
        <w:t>driving policy commitment and positive changes in the service system”</w:t>
      </w:r>
      <w:r>
        <w:rPr>
          <w:sz w:val="18"/>
        </w:rPr>
        <w:t>.</w:t>
      </w:r>
    </w:p>
    <w:p>
      <w:pPr>
        <w:spacing w:after="0" w:line="215" w:lineRule="exact"/>
        <w:jc w:val="left"/>
        <w:rPr>
          <w:sz w:val="18"/>
        </w:rPr>
        <w:sectPr>
          <w:pgSz w:w="11910" w:h="16840"/>
          <w:pgMar w:header="650" w:footer="420" w:top="1340" w:bottom="620" w:left="1140" w:right="700"/>
        </w:sectPr>
      </w:pPr>
    </w:p>
    <w:p>
      <w:pPr>
        <w:pStyle w:val="Heading2"/>
        <w:numPr>
          <w:ilvl w:val="1"/>
          <w:numId w:val="24"/>
        </w:numPr>
        <w:tabs>
          <w:tab w:pos="1094" w:val="left" w:leader="none"/>
          <w:tab w:pos="1095" w:val="left" w:leader="none"/>
        </w:tabs>
        <w:spacing w:line="240" w:lineRule="auto" w:before="102" w:after="0"/>
        <w:ind w:left="1094" w:right="0" w:hanging="795"/>
        <w:jc w:val="left"/>
      </w:pPr>
      <w:bookmarkStart w:name="_bookmark73" w:id="116"/>
      <w:bookmarkEnd w:id="116"/>
      <w:r>
        <w:rPr>
          <w:b w:val="0"/>
        </w:rPr>
      </w:r>
      <w:bookmarkStart w:name="_bookmark73" w:id="117"/>
      <w:bookmarkEnd w:id="117"/>
      <w:r>
        <w:rPr>
          <w:color w:val="61B5E4"/>
        </w:rPr>
        <w:t>I</w:t>
      </w:r>
      <w:r>
        <w:rPr>
          <w:color w:val="61B5E4"/>
        </w:rPr>
        <w:t>mplementation</w:t>
      </w:r>
      <w:r>
        <w:rPr>
          <w:color w:val="61B5E4"/>
          <w:spacing w:val="-2"/>
        </w:rPr>
        <w:t> </w:t>
      </w:r>
      <w:r>
        <w:rPr>
          <w:color w:val="61B5E4"/>
        </w:rPr>
        <w:t>barriers</w:t>
      </w:r>
    </w:p>
    <w:p>
      <w:pPr>
        <w:pStyle w:val="BodyText"/>
        <w:spacing w:line="264" w:lineRule="auto" w:before="20"/>
        <w:ind w:left="300" w:right="1121"/>
      </w:pPr>
      <w:r>
        <w:rPr/>
        <w:t>This evaluation has also identified a range of barriers that are associated with the design and implementation of </w:t>
      </w:r>
      <w:r>
        <w:rPr>
          <w:i/>
        </w:rPr>
        <w:t>Our Way</w:t>
      </w:r>
      <w:r>
        <w:rPr/>
        <w:t>. These barriers include structural racism, variation in cultural competency among non-Indigenous service providers, fear-based decision making, variation in accountability mechanisms and less supportive funding and procurement arrangements. These barriers are elaborated in greater detail in subsequent sub-sections.</w:t>
      </w:r>
    </w:p>
    <w:p>
      <w:pPr>
        <w:pStyle w:val="Heading4"/>
        <w:numPr>
          <w:ilvl w:val="2"/>
          <w:numId w:val="24"/>
        </w:numPr>
        <w:tabs>
          <w:tab w:pos="1320" w:val="left" w:leader="none"/>
          <w:tab w:pos="1321" w:val="left" w:leader="none"/>
        </w:tabs>
        <w:spacing w:line="240" w:lineRule="auto" w:before="167" w:after="0"/>
        <w:ind w:left="1320" w:right="0" w:hanging="1021"/>
        <w:jc w:val="left"/>
      </w:pPr>
      <w:bookmarkStart w:name="_bookmark74" w:id="118"/>
      <w:bookmarkEnd w:id="118"/>
      <w:r>
        <w:rPr>
          <w:b w:val="0"/>
        </w:rPr>
      </w:r>
      <w:bookmarkStart w:name="_bookmark74" w:id="119"/>
      <w:bookmarkEnd w:id="119"/>
      <w:r>
        <w:rPr/>
        <w:t>S</w:t>
      </w:r>
      <w:r>
        <w:rPr/>
        <w:t>tructural racism</w:t>
      </w:r>
    </w:p>
    <w:p>
      <w:pPr>
        <w:spacing w:line="264" w:lineRule="auto" w:before="22"/>
        <w:ind w:left="300" w:right="1170" w:firstLine="0"/>
        <w:jc w:val="left"/>
        <w:rPr>
          <w:b/>
          <w:sz w:val="18"/>
        </w:rPr>
      </w:pPr>
      <w:r>
        <w:rPr>
          <w:b/>
          <w:color w:val="0096A9"/>
          <w:sz w:val="18"/>
        </w:rPr>
        <w:t>There is a need to call out and address systemic racism that continues to exist in the system.</w:t>
      </w:r>
    </w:p>
    <w:p>
      <w:pPr>
        <w:pStyle w:val="BodyText"/>
        <w:spacing w:line="264" w:lineRule="auto" w:before="166"/>
        <w:ind w:left="300" w:right="760"/>
      </w:pPr>
      <w:r>
        <w:rPr/>
        <w:t>There is deep-seated, intergenerational mistrust, negative attitudes and perceptions that go both ways for both Aboriginal and Torres Strait Islander peoples and the child protection / justice sectors, despite significant efforts being made by government to address this. During consultations, stakeholders consistently highlighted the need to identify and call out service systems that constrain Aboriginal and Torres Strait Islander peoples voices and power through conscious or unconscious bias. The government’s willingness to highlight this issue is perceived to be a critical first step towards addressing inherent racism within the system. This is illustrated in the following stakeholder quote: </w:t>
      </w:r>
      <w:r>
        <w:rPr>
          <w:i/>
          <w:color w:val="85BB24"/>
        </w:rPr>
        <w:t>“there has to be a way to have a discussion on the fact that the </w:t>
      </w:r>
      <w:r>
        <w:rPr>
          <w:i/>
          <w:color w:val="85BB24"/>
        </w:rPr>
        <w:t>system is inherently racist and some workers do not view issues through the lens of Aboriginal and Torres Strait Islander families”</w:t>
      </w:r>
      <w:r>
        <w:rPr/>
        <w:t>. Beyond calling out instances of racism within the system, there is also a need to undertake bolder steps to eliminate racism from the system.</w:t>
      </w:r>
    </w:p>
    <w:p>
      <w:pPr>
        <w:pStyle w:val="Heading4"/>
        <w:numPr>
          <w:ilvl w:val="2"/>
          <w:numId w:val="24"/>
        </w:numPr>
        <w:tabs>
          <w:tab w:pos="1320" w:val="left" w:leader="none"/>
          <w:tab w:pos="1321" w:val="left" w:leader="none"/>
        </w:tabs>
        <w:spacing w:line="264" w:lineRule="auto" w:before="164" w:after="0"/>
        <w:ind w:left="300" w:right="1484" w:firstLine="0"/>
        <w:jc w:val="left"/>
      </w:pPr>
      <w:bookmarkStart w:name="_bookmark75" w:id="120"/>
      <w:bookmarkEnd w:id="120"/>
      <w:r>
        <w:rPr>
          <w:b w:val="0"/>
        </w:rPr>
      </w:r>
      <w:bookmarkStart w:name="_bookmark75" w:id="121"/>
      <w:bookmarkEnd w:id="121"/>
      <w:r>
        <w:rPr/>
        <w:t>V</w:t>
      </w:r>
      <w:r>
        <w:rPr/>
        <w:t>ariation in cultural competency of non-Indigenous organisations</w:t>
      </w:r>
      <w:r>
        <w:rPr>
          <w:color w:val="0096A9"/>
        </w:rPr>
        <w:t> Since the implementation of </w:t>
      </w:r>
      <w:r>
        <w:rPr>
          <w:i/>
          <w:color w:val="0096A9"/>
        </w:rPr>
        <w:t>Our Way</w:t>
      </w:r>
      <w:r>
        <w:rPr>
          <w:color w:val="0096A9"/>
        </w:rPr>
        <w:t>, service providers and community</w:t>
      </w:r>
      <w:r>
        <w:rPr>
          <w:color w:val="0096A9"/>
          <w:spacing w:val="-36"/>
        </w:rPr>
        <w:t> </w:t>
      </w:r>
      <w:r>
        <w:rPr>
          <w:color w:val="0096A9"/>
        </w:rPr>
        <w:t>members</w:t>
      </w:r>
    </w:p>
    <w:p>
      <w:pPr>
        <w:spacing w:line="264" w:lineRule="auto" w:before="0"/>
        <w:ind w:left="300" w:right="1422" w:firstLine="0"/>
        <w:jc w:val="left"/>
        <w:rPr>
          <w:b/>
          <w:sz w:val="18"/>
        </w:rPr>
      </w:pPr>
      <w:r>
        <w:rPr>
          <w:b/>
          <w:color w:val="0096A9"/>
          <w:sz w:val="18"/>
        </w:rPr>
        <w:t>reported only limited improvement to the quality, safety and provision of targeted services. This largely reflects the variation in cultural competency among non- Indigenous organisations.</w:t>
      </w:r>
    </w:p>
    <w:p>
      <w:pPr>
        <w:pStyle w:val="BodyText"/>
        <w:spacing w:line="264" w:lineRule="auto" w:before="168"/>
        <w:ind w:left="300" w:right="815"/>
      </w:pPr>
      <w:r>
        <w:rPr/>
        <w:t>During consultations, there is evidence that frontline agencies have increased investment in building the cultural competency of their staff. Survey respondents cited examples of cultural capability plan development and cultural engagement and education workshops. However, despite these commendable efforts, both service providers and community members observed that this has yet to translate to greater cultural competence at the front line of service delivery.</w:t>
      </w:r>
    </w:p>
    <w:p>
      <w:pPr>
        <w:pStyle w:val="BodyText"/>
        <w:spacing w:line="264" w:lineRule="auto" w:before="167"/>
        <w:ind w:left="300" w:right="850"/>
      </w:pPr>
      <w:r>
        <w:rPr/>
        <w:t>The variation in cultural competency may be driven by broader external factors such as workforce turnover which makes it challenging to embed cultural change in the operating environment of organisations. However, stakeholders also perceive that cultural capability development is not prioritised as a key focus area within selected agencies, as evidenced by limited induction and training in this area for new employees. This indicates that the level of emphasis on cultural competency may vary by individual agency.</w:t>
      </w:r>
    </w:p>
    <w:p>
      <w:pPr>
        <w:pStyle w:val="BodyText"/>
        <w:spacing w:line="264" w:lineRule="auto" w:before="167"/>
        <w:ind w:left="300" w:right="941"/>
      </w:pPr>
      <w:r>
        <w:rPr/>
        <w:t>During consultations, concerns were raised that frontline workers have limited understanding on what cultural competency looks like in the context of their roles and responsibilities. Some non- Indigenous workers perceive their own supports to be culturally appropriate and aligned with the Child Placement Principle, even if it was assessed to not be the case. Some agencies also do not have the necessary channels in place to collectively seek and monitor performance on accountability from service providers relative to the agreed approach to service delivery for Aboriginal and Torres Strait Islander peoples.</w:t>
      </w:r>
    </w:p>
    <w:p>
      <w:pPr>
        <w:pStyle w:val="Heading4"/>
        <w:numPr>
          <w:ilvl w:val="2"/>
          <w:numId w:val="24"/>
        </w:numPr>
        <w:tabs>
          <w:tab w:pos="1320" w:val="left" w:leader="none"/>
          <w:tab w:pos="1321" w:val="left" w:leader="none"/>
        </w:tabs>
        <w:spacing w:line="240" w:lineRule="auto" w:before="166" w:after="0"/>
        <w:ind w:left="1320" w:right="0" w:hanging="1021"/>
        <w:jc w:val="left"/>
      </w:pPr>
      <w:bookmarkStart w:name="_bookmark76" w:id="122"/>
      <w:bookmarkEnd w:id="122"/>
      <w:r>
        <w:rPr>
          <w:b w:val="0"/>
        </w:rPr>
      </w:r>
      <w:bookmarkStart w:name="_bookmark76" w:id="123"/>
      <w:bookmarkEnd w:id="123"/>
      <w:r>
        <w:rPr/>
        <w:t>F</w:t>
      </w:r>
      <w:r>
        <w:rPr/>
        <w:t>ear-based decision</w:t>
      </w:r>
      <w:r>
        <w:rPr>
          <w:spacing w:val="-2"/>
        </w:rPr>
        <w:t> </w:t>
      </w:r>
      <w:r>
        <w:rPr/>
        <w:t>making</w:t>
      </w:r>
    </w:p>
    <w:p>
      <w:pPr>
        <w:spacing w:line="264" w:lineRule="auto" w:before="22"/>
        <w:ind w:left="300" w:right="725" w:firstLine="0"/>
        <w:jc w:val="left"/>
        <w:rPr>
          <w:b/>
          <w:sz w:val="18"/>
        </w:rPr>
      </w:pPr>
      <w:r>
        <w:rPr>
          <w:b/>
          <w:color w:val="0096A9"/>
          <w:sz w:val="18"/>
        </w:rPr>
        <w:t>The fear of losing power, risk aversion and resistance to change also continues to impact the implementation of </w:t>
      </w:r>
      <w:r>
        <w:rPr>
          <w:b/>
          <w:i/>
          <w:color w:val="0096A9"/>
          <w:sz w:val="18"/>
        </w:rPr>
        <w:t>Our Way</w:t>
      </w:r>
      <w:r>
        <w:rPr>
          <w:b/>
          <w:color w:val="0096A9"/>
          <w:sz w:val="18"/>
        </w:rPr>
        <w:t>.</w:t>
      </w:r>
    </w:p>
    <w:p>
      <w:pPr>
        <w:pStyle w:val="BodyText"/>
        <w:spacing w:line="264" w:lineRule="auto" w:before="166"/>
        <w:ind w:left="300" w:right="793"/>
      </w:pPr>
      <w:r>
        <w:rPr/>
        <w:t>There is a perception that several frontline agencies are less accustomed and comfortable with the concept of family-led decision making as it involves losing power and control of solution design.</w:t>
      </w:r>
    </w:p>
    <w:p>
      <w:pPr>
        <w:pStyle w:val="BodyText"/>
        <w:spacing w:line="264" w:lineRule="auto"/>
        <w:ind w:left="300" w:right="750"/>
      </w:pPr>
      <w:r>
        <w:rPr/>
        <w:t>This contrasts with the intent and aspirations at the highest level of government. One stakeholder cited an example of leaders (at an Executive Director level) providing permission to the rest of the organisation to innovate and support greater self-determination across Aboriginal and Torres Strait Islander communities, but this aspiration is not mirrored among regional teams due to risk</w:t>
      </w:r>
    </w:p>
    <w:p>
      <w:pPr>
        <w:spacing w:after="0" w:line="264" w:lineRule="auto"/>
        <w:sectPr>
          <w:pgSz w:w="11910" w:h="16840"/>
          <w:pgMar w:header="650" w:footer="420" w:top="1340" w:bottom="620" w:left="1140" w:right="700"/>
        </w:sectPr>
      </w:pPr>
    </w:p>
    <w:p>
      <w:pPr>
        <w:spacing w:line="264" w:lineRule="auto" w:before="109"/>
        <w:ind w:left="300" w:right="771" w:firstLine="0"/>
        <w:jc w:val="left"/>
        <w:rPr>
          <w:i/>
          <w:sz w:val="18"/>
        </w:rPr>
      </w:pPr>
      <w:r>
        <w:rPr>
          <w:sz w:val="18"/>
        </w:rPr>
        <w:t>aversion and resistance to change. Additionally, the lack of accountability mechanisms impacts the extent to which there are positive changes across the system. One stakeholder said </w:t>
      </w:r>
      <w:r>
        <w:rPr>
          <w:i/>
          <w:color w:val="85BB24"/>
          <w:sz w:val="18"/>
        </w:rPr>
        <w:t>“no one in </w:t>
      </w:r>
      <w:r>
        <w:rPr>
          <w:i/>
          <w:color w:val="85BB24"/>
          <w:sz w:val="18"/>
        </w:rPr>
        <w:t>government loses their job for transgressing [Aboriginal and Torres Strait Islander] children’s</w:t>
      </w:r>
    </w:p>
    <w:p>
      <w:pPr>
        <w:pStyle w:val="BodyText"/>
        <w:spacing w:line="217" w:lineRule="exact"/>
        <w:ind w:left="300"/>
      </w:pPr>
      <w:r>
        <w:rPr>
          <w:i/>
          <w:color w:val="85BB24"/>
        </w:rPr>
        <w:t>rights”</w:t>
      </w:r>
      <w:r>
        <w:rPr/>
        <w:t>. This is explored further in the next sub-section.</w:t>
      </w:r>
    </w:p>
    <w:p>
      <w:pPr>
        <w:pStyle w:val="BodyText"/>
        <w:spacing w:before="6"/>
        <w:rPr>
          <w:sz w:val="21"/>
        </w:rPr>
      </w:pPr>
    </w:p>
    <w:p>
      <w:pPr>
        <w:pStyle w:val="Heading4"/>
        <w:numPr>
          <w:ilvl w:val="2"/>
          <w:numId w:val="24"/>
        </w:numPr>
        <w:tabs>
          <w:tab w:pos="1320" w:val="left" w:leader="none"/>
          <w:tab w:pos="1321" w:val="left" w:leader="none"/>
        </w:tabs>
        <w:spacing w:line="240" w:lineRule="auto" w:before="0" w:after="0"/>
        <w:ind w:left="1320" w:right="0" w:hanging="1021"/>
        <w:jc w:val="left"/>
      </w:pPr>
      <w:bookmarkStart w:name="_bookmark77" w:id="124"/>
      <w:bookmarkEnd w:id="124"/>
      <w:r>
        <w:rPr>
          <w:b w:val="0"/>
        </w:rPr>
      </w:r>
      <w:bookmarkStart w:name="_bookmark77" w:id="125"/>
      <w:bookmarkEnd w:id="125"/>
      <w:r>
        <w:rPr/>
        <w:t>I</w:t>
      </w:r>
      <w:r>
        <w:rPr/>
        <w:t>nconsistent accountability mechanisms</w:t>
      </w:r>
    </w:p>
    <w:p>
      <w:pPr>
        <w:spacing w:line="264" w:lineRule="auto" w:before="21"/>
        <w:ind w:left="300" w:right="796" w:firstLine="0"/>
        <w:jc w:val="left"/>
        <w:rPr>
          <w:b/>
          <w:sz w:val="18"/>
        </w:rPr>
      </w:pPr>
      <w:r>
        <w:rPr>
          <w:b/>
          <w:color w:val="0096A9"/>
          <w:sz w:val="18"/>
        </w:rPr>
        <w:t>The strength of accountability mechanisms associated with </w:t>
      </w:r>
      <w:r>
        <w:rPr>
          <w:b/>
          <w:i/>
          <w:color w:val="0096A9"/>
          <w:sz w:val="18"/>
        </w:rPr>
        <w:t>Our Way </w:t>
      </w:r>
      <w:r>
        <w:rPr>
          <w:b/>
          <w:color w:val="0096A9"/>
          <w:sz w:val="18"/>
        </w:rPr>
        <w:t>continue to vary by agency type and across different levels of government.</w:t>
      </w:r>
    </w:p>
    <w:p>
      <w:pPr>
        <w:pStyle w:val="BodyText"/>
        <w:spacing w:line="264" w:lineRule="auto" w:before="169"/>
        <w:ind w:left="300" w:right="777"/>
      </w:pPr>
      <w:r>
        <w:rPr/>
        <w:t>There is some evidence of accountability mechanisms within agencies, although it is not consistent across government agencies. Examples of accountability mechanisms within agencies are shown below (</w:t>
      </w:r>
      <w:hyperlink w:history="true" w:anchor="_bookmark78">
        <w:r>
          <w:rPr/>
          <w:t>Table 5.1</w:t>
        </w:r>
      </w:hyperlink>
      <w:r>
        <w:rPr/>
        <w:t>).</w:t>
      </w:r>
    </w:p>
    <w:p>
      <w:pPr>
        <w:pStyle w:val="BodyText"/>
        <w:spacing w:before="7"/>
        <w:rPr>
          <w:sz w:val="20"/>
        </w:rPr>
      </w:pPr>
    </w:p>
    <w:p>
      <w:pPr>
        <w:spacing w:before="1"/>
        <w:ind w:left="300" w:right="0" w:firstLine="0"/>
        <w:jc w:val="left"/>
        <w:rPr>
          <w:sz w:val="17"/>
        </w:rPr>
      </w:pPr>
      <w:r>
        <w:rPr>
          <w:color w:val="75787A"/>
          <w:sz w:val="17"/>
        </w:rPr>
        <w:t>Table </w:t>
      </w:r>
      <w:bookmarkStart w:name="_bookmark78" w:id="126"/>
      <w:bookmarkEnd w:id="126"/>
      <w:r>
        <w:rPr>
          <w:color w:val="75787A"/>
          <w:sz w:val="17"/>
        </w:rPr>
        <w:t>5.1</w:t>
      </w:r>
      <w:r>
        <w:rPr>
          <w:color w:val="75787A"/>
          <w:sz w:val="17"/>
        </w:rPr>
        <w:t> Overview of accountability mechanisms</w:t>
      </w:r>
    </w:p>
    <w:p>
      <w:pPr>
        <w:pStyle w:val="BodyText"/>
        <w:spacing w:before="9" w:after="1"/>
        <w:rPr>
          <w:sz w:val="19"/>
        </w:rPr>
      </w:pPr>
    </w:p>
    <w:tbl>
      <w:tblPr>
        <w:tblW w:w="0" w:type="auto"/>
        <w:jc w:val="left"/>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22"/>
      </w:tblGrid>
      <w:tr>
        <w:trPr>
          <w:trHeight w:val="352" w:hRule="atLeast"/>
        </w:trPr>
        <w:tc>
          <w:tcPr>
            <w:tcW w:w="9222" w:type="dxa"/>
            <w:tcBorders>
              <w:top w:val="single" w:sz="24" w:space="0" w:color="61B5E4"/>
              <w:bottom w:val="single" w:sz="4" w:space="0" w:color="000000"/>
            </w:tcBorders>
          </w:tcPr>
          <w:p>
            <w:pPr>
              <w:pStyle w:val="TableParagraph"/>
              <w:spacing w:before="90"/>
              <w:ind w:left="35"/>
              <w:rPr>
                <w:b/>
                <w:sz w:val="17"/>
              </w:rPr>
            </w:pPr>
            <w:r>
              <w:rPr>
                <w:b/>
                <w:sz w:val="17"/>
              </w:rPr>
              <w:t>Accountability mechanisms</w:t>
            </w:r>
          </w:p>
        </w:tc>
      </w:tr>
      <w:tr>
        <w:trPr>
          <w:trHeight w:val="6595" w:hRule="atLeast"/>
        </w:trPr>
        <w:tc>
          <w:tcPr>
            <w:tcW w:w="9222" w:type="dxa"/>
            <w:tcBorders>
              <w:top w:val="single" w:sz="4" w:space="0" w:color="000000"/>
              <w:bottom w:val="single" w:sz="4" w:space="0" w:color="000000"/>
            </w:tcBorders>
          </w:tcPr>
          <w:p>
            <w:pPr>
              <w:pStyle w:val="TableParagraph"/>
              <w:numPr>
                <w:ilvl w:val="0"/>
                <w:numId w:val="35"/>
              </w:numPr>
              <w:tabs>
                <w:tab w:pos="396" w:val="left" w:leader="none"/>
              </w:tabs>
              <w:spacing w:line="240" w:lineRule="auto" w:before="90" w:after="0"/>
              <w:ind w:left="396" w:right="0" w:hanging="361"/>
              <w:jc w:val="left"/>
              <w:rPr>
                <w:sz w:val="17"/>
              </w:rPr>
            </w:pPr>
            <w:r>
              <w:rPr>
                <w:sz w:val="17"/>
              </w:rPr>
              <w:t>Establishment and governance of the Queensland First Children and Families</w:t>
            </w:r>
            <w:r>
              <w:rPr>
                <w:spacing w:val="-9"/>
                <w:sz w:val="17"/>
              </w:rPr>
              <w:t> </w:t>
            </w:r>
            <w:r>
              <w:rPr>
                <w:sz w:val="17"/>
              </w:rPr>
              <w:t>Board</w:t>
            </w:r>
          </w:p>
          <w:p>
            <w:pPr>
              <w:pStyle w:val="TableParagraph"/>
              <w:numPr>
                <w:ilvl w:val="0"/>
                <w:numId w:val="35"/>
              </w:numPr>
              <w:tabs>
                <w:tab w:pos="396" w:val="left" w:leader="none"/>
              </w:tabs>
              <w:spacing w:line="278" w:lineRule="auto" w:before="34" w:after="0"/>
              <w:ind w:left="395" w:right="637" w:hanging="360"/>
              <w:jc w:val="left"/>
              <w:rPr>
                <w:sz w:val="17"/>
              </w:rPr>
            </w:pPr>
            <w:r>
              <w:rPr>
                <w:sz w:val="17"/>
              </w:rPr>
              <w:t>Technical Working Groups, Ministerial Champions, Mayors Working Groups, Indigenous Leaders Forum and interagency</w:t>
            </w:r>
            <w:r>
              <w:rPr>
                <w:spacing w:val="-1"/>
                <w:sz w:val="17"/>
              </w:rPr>
              <w:t> </w:t>
            </w:r>
            <w:r>
              <w:rPr>
                <w:sz w:val="17"/>
              </w:rPr>
              <w:t>committees</w:t>
            </w:r>
          </w:p>
          <w:p>
            <w:pPr>
              <w:pStyle w:val="TableParagraph"/>
              <w:numPr>
                <w:ilvl w:val="0"/>
                <w:numId w:val="35"/>
              </w:numPr>
              <w:tabs>
                <w:tab w:pos="396" w:val="left" w:leader="none"/>
              </w:tabs>
              <w:spacing w:line="278" w:lineRule="auto" w:before="0" w:after="0"/>
              <w:ind w:left="395" w:right="889" w:hanging="360"/>
              <w:jc w:val="left"/>
              <w:rPr>
                <w:sz w:val="17"/>
              </w:rPr>
            </w:pPr>
            <w:r>
              <w:rPr>
                <w:sz w:val="17"/>
              </w:rPr>
              <w:t>For funded service providers, as part of the procurement process there are regular reporting mechanisms, reviews and program management in place for compliance and</w:t>
            </w:r>
            <w:r>
              <w:rPr>
                <w:spacing w:val="-21"/>
                <w:sz w:val="17"/>
              </w:rPr>
              <w:t> </w:t>
            </w:r>
            <w:r>
              <w:rPr>
                <w:sz w:val="17"/>
              </w:rPr>
              <w:t>accountability</w:t>
            </w:r>
          </w:p>
          <w:p>
            <w:pPr>
              <w:pStyle w:val="TableParagraph"/>
              <w:numPr>
                <w:ilvl w:val="0"/>
                <w:numId w:val="35"/>
              </w:numPr>
              <w:tabs>
                <w:tab w:pos="396" w:val="left" w:leader="none"/>
              </w:tabs>
              <w:spacing w:line="278" w:lineRule="auto" w:before="1" w:after="0"/>
              <w:ind w:left="395" w:right="341" w:hanging="360"/>
              <w:jc w:val="left"/>
              <w:rPr>
                <w:sz w:val="17"/>
              </w:rPr>
            </w:pPr>
            <w:r>
              <w:rPr>
                <w:sz w:val="17"/>
              </w:rPr>
              <w:t>The Strategic Implementation Group for the Aboriginal and Torres Strait Islander community- controlled sector, which provides oversight of the Aboriginal and Torres Strait Islander Family Wellbeing Services and the Family Participation Program. Its membership comprises the Chief Executive Officers (CEO) of all the funded organisations, QATSICPP and senior regional and central officer staff. The group met bi-monthly through the early years of the programs and is meeting biannually at this</w:t>
            </w:r>
            <w:r>
              <w:rPr>
                <w:spacing w:val="-1"/>
                <w:sz w:val="17"/>
              </w:rPr>
              <w:t> </w:t>
            </w:r>
            <w:r>
              <w:rPr>
                <w:sz w:val="17"/>
              </w:rPr>
              <w:t>stage.</w:t>
            </w:r>
          </w:p>
          <w:p>
            <w:pPr>
              <w:pStyle w:val="TableParagraph"/>
              <w:numPr>
                <w:ilvl w:val="0"/>
                <w:numId w:val="35"/>
              </w:numPr>
              <w:tabs>
                <w:tab w:pos="396" w:val="left" w:leader="none"/>
              </w:tabs>
              <w:spacing w:line="278" w:lineRule="auto" w:before="2" w:after="0"/>
              <w:ind w:left="395" w:right="212" w:hanging="360"/>
              <w:jc w:val="left"/>
              <w:rPr>
                <w:sz w:val="17"/>
              </w:rPr>
            </w:pPr>
            <w:r>
              <w:rPr>
                <w:sz w:val="17"/>
              </w:rPr>
              <w:t>Governance Group for Delegated Authority which meets regularly to co-design and oversee implementation of Delegated Authority. Membership includes QATSICPP CEO and CEO of two ACCOs (REFOCUS and Central Queensland Indigenous</w:t>
            </w:r>
            <w:r>
              <w:rPr>
                <w:spacing w:val="-5"/>
                <w:sz w:val="17"/>
              </w:rPr>
              <w:t> </w:t>
            </w:r>
            <w:r>
              <w:rPr>
                <w:sz w:val="17"/>
              </w:rPr>
              <w:t>Development)</w:t>
            </w:r>
          </w:p>
          <w:p>
            <w:pPr>
              <w:pStyle w:val="TableParagraph"/>
              <w:numPr>
                <w:ilvl w:val="0"/>
                <w:numId w:val="35"/>
              </w:numPr>
              <w:tabs>
                <w:tab w:pos="396" w:val="left" w:leader="none"/>
              </w:tabs>
              <w:spacing w:line="240" w:lineRule="auto" w:before="1" w:after="0"/>
              <w:ind w:left="396" w:right="0" w:hanging="361"/>
              <w:jc w:val="left"/>
              <w:rPr>
                <w:sz w:val="17"/>
              </w:rPr>
            </w:pPr>
            <w:r>
              <w:rPr>
                <w:sz w:val="17"/>
              </w:rPr>
              <w:t>Family Matters Leadership Group – coordinated by</w:t>
            </w:r>
            <w:r>
              <w:rPr>
                <w:spacing w:val="-6"/>
                <w:sz w:val="17"/>
              </w:rPr>
              <w:t> </w:t>
            </w:r>
            <w:r>
              <w:rPr>
                <w:sz w:val="17"/>
              </w:rPr>
              <w:t>QATSICPP</w:t>
            </w:r>
          </w:p>
          <w:p>
            <w:pPr>
              <w:pStyle w:val="TableParagraph"/>
              <w:numPr>
                <w:ilvl w:val="0"/>
                <w:numId w:val="35"/>
              </w:numPr>
              <w:tabs>
                <w:tab w:pos="396" w:val="left" w:leader="none"/>
              </w:tabs>
              <w:spacing w:line="278" w:lineRule="auto" w:before="34" w:after="0"/>
              <w:ind w:left="395" w:right="176" w:hanging="360"/>
              <w:jc w:val="left"/>
              <w:rPr>
                <w:sz w:val="17"/>
              </w:rPr>
            </w:pPr>
            <w:r>
              <w:rPr>
                <w:sz w:val="17"/>
              </w:rPr>
              <w:t>First Nations Council, including custodians of DCYJMA’s Cultural Capability Action Plan. This Council includes Aboriginal or Torres Strait Islander staff of DCYJMA, works directly with DCYJMA’s Executive Management Board and has links with other</w:t>
            </w:r>
            <w:r>
              <w:rPr>
                <w:spacing w:val="-8"/>
                <w:sz w:val="17"/>
              </w:rPr>
              <w:t> </w:t>
            </w:r>
            <w:r>
              <w:rPr>
                <w:sz w:val="17"/>
              </w:rPr>
              <w:t>governance</w:t>
            </w:r>
          </w:p>
          <w:p>
            <w:pPr>
              <w:pStyle w:val="TableParagraph"/>
              <w:numPr>
                <w:ilvl w:val="0"/>
                <w:numId w:val="35"/>
              </w:numPr>
              <w:tabs>
                <w:tab w:pos="396" w:val="left" w:leader="none"/>
              </w:tabs>
              <w:spacing w:line="278" w:lineRule="auto" w:before="1" w:after="0"/>
              <w:ind w:left="395" w:right="111" w:hanging="360"/>
              <w:jc w:val="left"/>
              <w:rPr>
                <w:sz w:val="17"/>
              </w:rPr>
            </w:pPr>
            <w:r>
              <w:rPr>
                <w:sz w:val="17"/>
              </w:rPr>
              <w:t>Local level governance groups for Delegated Authority which have involved the community-controlled sector</w:t>
            </w:r>
          </w:p>
          <w:p>
            <w:pPr>
              <w:pStyle w:val="TableParagraph"/>
              <w:numPr>
                <w:ilvl w:val="0"/>
                <w:numId w:val="35"/>
              </w:numPr>
              <w:tabs>
                <w:tab w:pos="396" w:val="left" w:leader="none"/>
              </w:tabs>
              <w:spacing w:line="240" w:lineRule="auto" w:before="0" w:after="0"/>
              <w:ind w:left="396" w:right="0" w:hanging="361"/>
              <w:jc w:val="left"/>
              <w:rPr>
                <w:sz w:val="17"/>
              </w:rPr>
            </w:pPr>
            <w:r>
              <w:rPr>
                <w:sz w:val="17"/>
              </w:rPr>
              <w:t>Agencies’ regular meetings with Aboriginal and Torres Strait</w:t>
            </w:r>
            <w:r>
              <w:rPr>
                <w:spacing w:val="-3"/>
                <w:sz w:val="17"/>
              </w:rPr>
              <w:t> </w:t>
            </w:r>
            <w:r>
              <w:rPr>
                <w:sz w:val="17"/>
              </w:rPr>
              <w:t>Leaders</w:t>
            </w:r>
          </w:p>
          <w:p>
            <w:pPr>
              <w:pStyle w:val="TableParagraph"/>
              <w:numPr>
                <w:ilvl w:val="0"/>
                <w:numId w:val="35"/>
              </w:numPr>
              <w:tabs>
                <w:tab w:pos="396" w:val="left" w:leader="none"/>
              </w:tabs>
              <w:spacing w:line="240" w:lineRule="auto" w:before="34" w:after="0"/>
              <w:ind w:left="396" w:right="0" w:hanging="361"/>
              <w:jc w:val="left"/>
              <w:rPr>
                <w:sz w:val="17"/>
              </w:rPr>
            </w:pPr>
            <w:r>
              <w:rPr>
                <w:sz w:val="17"/>
              </w:rPr>
              <w:t>Oversight by Youth Justice over the YJFLDM</w:t>
            </w:r>
            <w:r>
              <w:rPr>
                <w:spacing w:val="-4"/>
                <w:sz w:val="17"/>
              </w:rPr>
              <w:t> </w:t>
            </w:r>
            <w:r>
              <w:rPr>
                <w:sz w:val="17"/>
              </w:rPr>
              <w:t>trial</w:t>
            </w:r>
          </w:p>
          <w:p>
            <w:pPr>
              <w:pStyle w:val="TableParagraph"/>
              <w:numPr>
                <w:ilvl w:val="0"/>
                <w:numId w:val="35"/>
              </w:numPr>
              <w:tabs>
                <w:tab w:pos="396" w:val="left" w:leader="none"/>
              </w:tabs>
              <w:spacing w:line="240" w:lineRule="auto" w:before="33" w:after="0"/>
              <w:ind w:left="396" w:right="0" w:hanging="361"/>
              <w:jc w:val="left"/>
              <w:rPr>
                <w:sz w:val="17"/>
              </w:rPr>
            </w:pPr>
            <w:r>
              <w:rPr>
                <w:sz w:val="17"/>
              </w:rPr>
              <w:t>A community with ACCO practitioners to discuss practice</w:t>
            </w:r>
            <w:r>
              <w:rPr>
                <w:spacing w:val="-3"/>
                <w:sz w:val="17"/>
              </w:rPr>
              <w:t> </w:t>
            </w:r>
            <w:r>
              <w:rPr>
                <w:sz w:val="17"/>
              </w:rPr>
              <w:t>issues</w:t>
            </w:r>
          </w:p>
          <w:p>
            <w:pPr>
              <w:pStyle w:val="TableParagraph"/>
              <w:numPr>
                <w:ilvl w:val="0"/>
                <w:numId w:val="35"/>
              </w:numPr>
              <w:tabs>
                <w:tab w:pos="396" w:val="left" w:leader="none"/>
              </w:tabs>
              <w:spacing w:line="278" w:lineRule="auto" w:before="34" w:after="0"/>
              <w:ind w:left="395" w:right="331" w:hanging="360"/>
              <w:jc w:val="left"/>
              <w:rPr>
                <w:sz w:val="17"/>
              </w:rPr>
            </w:pPr>
            <w:r>
              <w:rPr>
                <w:sz w:val="17"/>
              </w:rPr>
              <w:t>Obligation by Youth Justice with On Country providers to work with local Traditional Owner groups, with reporting mechanisms through service</w:t>
            </w:r>
            <w:r>
              <w:rPr>
                <w:spacing w:val="-2"/>
                <w:sz w:val="17"/>
              </w:rPr>
              <w:t> </w:t>
            </w:r>
            <w:r>
              <w:rPr>
                <w:sz w:val="17"/>
              </w:rPr>
              <w:t>meetings</w:t>
            </w:r>
          </w:p>
          <w:p>
            <w:pPr>
              <w:pStyle w:val="TableParagraph"/>
              <w:numPr>
                <w:ilvl w:val="0"/>
                <w:numId w:val="35"/>
              </w:numPr>
              <w:tabs>
                <w:tab w:pos="396" w:val="left" w:leader="none"/>
              </w:tabs>
              <w:spacing w:line="278" w:lineRule="auto" w:before="1" w:after="0"/>
              <w:ind w:left="395" w:right="122" w:hanging="360"/>
              <w:jc w:val="left"/>
              <w:rPr>
                <w:sz w:val="17"/>
              </w:rPr>
            </w:pPr>
            <w:r>
              <w:rPr>
                <w:sz w:val="17"/>
              </w:rPr>
              <w:t>Tender processes in Youth Justice that explicitly state that workers of services must reflect the target group cohort and that workplaces must be culturally safe</w:t>
            </w:r>
            <w:r>
              <w:rPr>
                <w:spacing w:val="-8"/>
                <w:sz w:val="17"/>
              </w:rPr>
              <w:t> </w:t>
            </w:r>
            <w:r>
              <w:rPr>
                <w:sz w:val="17"/>
              </w:rPr>
              <w:t>places.</w:t>
            </w:r>
          </w:p>
        </w:tc>
      </w:tr>
    </w:tbl>
    <w:p>
      <w:pPr>
        <w:spacing w:before="45"/>
        <w:ind w:left="300" w:right="0" w:firstLine="0"/>
        <w:jc w:val="left"/>
        <w:rPr>
          <w:sz w:val="16"/>
        </w:rPr>
      </w:pPr>
      <w:r>
        <w:rPr>
          <w:color w:val="75787A"/>
          <w:sz w:val="16"/>
        </w:rPr>
        <w:t>Source: Deloitte Access Economics</w:t>
      </w:r>
    </w:p>
    <w:p>
      <w:pPr>
        <w:pStyle w:val="BodyText"/>
        <w:spacing w:before="9"/>
        <w:rPr>
          <w:sz w:val="15"/>
        </w:rPr>
      </w:pPr>
    </w:p>
    <w:p>
      <w:pPr>
        <w:pStyle w:val="BodyText"/>
        <w:spacing w:line="264" w:lineRule="auto"/>
        <w:ind w:left="300" w:right="1154"/>
      </w:pPr>
      <w:r>
        <w:rPr/>
        <w:t>However, overall, the overwhelming consensus among stakeholders is that the accountability mechanisms in place are not sufficiently strong across the system. This is attributed to several factors:</w:t>
      </w:r>
    </w:p>
    <w:p>
      <w:pPr>
        <w:pStyle w:val="ListParagraph"/>
        <w:numPr>
          <w:ilvl w:val="1"/>
          <w:numId w:val="33"/>
        </w:numPr>
        <w:tabs>
          <w:tab w:pos="660" w:val="left" w:leader="none"/>
          <w:tab w:pos="661" w:val="left" w:leader="none"/>
        </w:tabs>
        <w:spacing w:line="261" w:lineRule="auto" w:before="168" w:after="0"/>
        <w:ind w:left="660" w:right="858" w:hanging="360"/>
        <w:jc w:val="left"/>
        <w:rPr>
          <w:sz w:val="18"/>
        </w:rPr>
      </w:pPr>
      <w:r>
        <w:rPr>
          <w:sz w:val="18"/>
        </w:rPr>
        <w:t>The absence of explicit </w:t>
      </w:r>
      <w:r>
        <w:rPr>
          <w:i/>
          <w:sz w:val="18"/>
        </w:rPr>
        <w:t>Our Way </w:t>
      </w:r>
      <w:r>
        <w:rPr>
          <w:sz w:val="18"/>
        </w:rPr>
        <w:t>KPIs to inform the assessment of a regional leader and / or frontline worker’s performance. Stakeholders said that there were limited mechanisms to hold workers accountable for their failure to meet</w:t>
      </w:r>
      <w:r>
        <w:rPr>
          <w:spacing w:val="-8"/>
          <w:sz w:val="18"/>
        </w:rPr>
        <w:t> </w:t>
      </w:r>
      <w:r>
        <w:rPr>
          <w:sz w:val="18"/>
        </w:rPr>
        <w:t>outcomes.</w:t>
      </w:r>
    </w:p>
    <w:p>
      <w:pPr>
        <w:pStyle w:val="ListParagraph"/>
        <w:numPr>
          <w:ilvl w:val="1"/>
          <w:numId w:val="33"/>
        </w:numPr>
        <w:tabs>
          <w:tab w:pos="660" w:val="left" w:leader="none"/>
          <w:tab w:pos="661" w:val="left" w:leader="none"/>
        </w:tabs>
        <w:spacing w:line="261" w:lineRule="auto" w:before="3" w:after="0"/>
        <w:ind w:left="660" w:right="1300" w:hanging="360"/>
        <w:jc w:val="left"/>
        <w:rPr>
          <w:sz w:val="18"/>
        </w:rPr>
      </w:pPr>
      <w:r>
        <w:rPr>
          <w:sz w:val="18"/>
        </w:rPr>
        <w:t>The multiple layers of government make it challenging to monitor implementation (and subsequently hold individuals and branches accountable). While government leaders at a central level may have committed to the intent and principles of </w:t>
      </w:r>
      <w:r>
        <w:rPr>
          <w:i/>
          <w:sz w:val="18"/>
        </w:rPr>
        <w:t>Our Way</w:t>
      </w:r>
      <w:r>
        <w:rPr>
          <w:sz w:val="18"/>
        </w:rPr>
        <w:t>, it is difficult to monitor the extent to which these principles are implemented at a regional</w:t>
      </w:r>
      <w:r>
        <w:rPr>
          <w:spacing w:val="-19"/>
          <w:sz w:val="18"/>
        </w:rPr>
        <w:t> </w:t>
      </w:r>
      <w:r>
        <w:rPr>
          <w:sz w:val="18"/>
        </w:rPr>
        <w:t>level.</w:t>
      </w:r>
    </w:p>
    <w:p>
      <w:pPr>
        <w:spacing w:after="0" w:line="261" w:lineRule="auto"/>
        <w:jc w:val="left"/>
        <w:rPr>
          <w:sz w:val="18"/>
        </w:rPr>
        <w:sectPr>
          <w:pgSz w:w="11910" w:h="16840"/>
          <w:pgMar w:header="650" w:footer="420" w:top="1340" w:bottom="620" w:left="1140" w:right="700"/>
        </w:sectPr>
      </w:pPr>
    </w:p>
    <w:p>
      <w:pPr>
        <w:pStyle w:val="Heading4"/>
        <w:numPr>
          <w:ilvl w:val="2"/>
          <w:numId w:val="24"/>
        </w:numPr>
        <w:tabs>
          <w:tab w:pos="1320" w:val="left" w:leader="none"/>
          <w:tab w:pos="1321" w:val="left" w:leader="none"/>
        </w:tabs>
        <w:spacing w:line="240" w:lineRule="auto" w:before="109" w:after="0"/>
        <w:ind w:left="1320" w:right="0" w:hanging="1021"/>
        <w:jc w:val="left"/>
      </w:pPr>
      <w:bookmarkStart w:name="_bookmark79" w:id="127"/>
      <w:bookmarkEnd w:id="127"/>
      <w:r>
        <w:rPr>
          <w:b w:val="0"/>
        </w:rPr>
      </w:r>
      <w:bookmarkStart w:name="_bookmark79" w:id="128"/>
      <w:bookmarkEnd w:id="128"/>
      <w:r>
        <w:rPr/>
        <w:t>E</w:t>
      </w:r>
      <w:r>
        <w:rPr/>
        <w:t>xisting funding and procurement</w:t>
      </w:r>
      <w:r>
        <w:rPr>
          <w:spacing w:val="-4"/>
        </w:rPr>
        <w:t> </w:t>
      </w:r>
      <w:r>
        <w:rPr/>
        <w:t>arrangements</w:t>
      </w:r>
    </w:p>
    <w:p>
      <w:pPr>
        <w:spacing w:line="264" w:lineRule="auto" w:before="21"/>
        <w:ind w:left="300" w:right="1199" w:firstLine="0"/>
        <w:jc w:val="left"/>
        <w:rPr>
          <w:b/>
          <w:sz w:val="18"/>
        </w:rPr>
      </w:pPr>
      <w:r>
        <w:rPr>
          <w:b/>
          <w:color w:val="0096A9"/>
          <w:sz w:val="18"/>
        </w:rPr>
        <w:t>More supportive funding and procurement arrangements are also required to enable ongoing systems change advocated by </w:t>
      </w:r>
      <w:r>
        <w:rPr>
          <w:b/>
          <w:i/>
          <w:color w:val="0096A9"/>
          <w:sz w:val="18"/>
        </w:rPr>
        <w:t>Our Way</w:t>
      </w:r>
      <w:r>
        <w:rPr>
          <w:b/>
          <w:color w:val="0096A9"/>
          <w:sz w:val="18"/>
        </w:rPr>
        <w:t>.</w:t>
      </w:r>
    </w:p>
    <w:p>
      <w:pPr>
        <w:pStyle w:val="BodyText"/>
        <w:spacing w:line="264" w:lineRule="auto" w:before="169"/>
        <w:ind w:left="300" w:right="866"/>
      </w:pPr>
      <w:r>
        <w:rPr/>
        <w:t>Stakeholders advocated for community voice to play a more significant role in informing funding decisions. This has already been implemented in selected areas – for example, community members sitting on panels in the selection of school principals and the ongoing implementation of Local Thriving Communities.</w:t>
      </w:r>
    </w:p>
    <w:p>
      <w:pPr>
        <w:pStyle w:val="BodyText"/>
        <w:spacing w:before="6"/>
        <w:rPr>
          <w:sz w:val="19"/>
        </w:rPr>
      </w:pPr>
    </w:p>
    <w:p>
      <w:pPr>
        <w:pStyle w:val="BodyText"/>
        <w:spacing w:line="264" w:lineRule="auto" w:before="1"/>
        <w:ind w:left="300" w:right="740"/>
      </w:pPr>
      <w:r>
        <w:rPr/>
        <w:t>However, there are concerns that the funding and procurement processes have generally not been sufficiently recalibrated to be aligned with the expected shift in power and authorising environment to the community-controlled sector. Stakeholders noted the imbalance of short-term funding arrangements in place to facilitate long-term transitions in responsibilities. It is also perceived that current arrangements entrench existing power imbalances, as the Government continues to have the authority and power to defund services if outcomes are not attained. This is said to prevent sustainable development in the community-controlled sector.</w:t>
      </w:r>
    </w:p>
    <w:p>
      <w:pPr>
        <w:pStyle w:val="BodyText"/>
        <w:spacing w:before="10"/>
      </w:pPr>
    </w:p>
    <w:p>
      <w:pPr>
        <w:pStyle w:val="Heading2"/>
        <w:numPr>
          <w:ilvl w:val="1"/>
          <w:numId w:val="24"/>
        </w:numPr>
        <w:tabs>
          <w:tab w:pos="1094" w:val="left" w:leader="none"/>
          <w:tab w:pos="1095" w:val="left" w:leader="none"/>
        </w:tabs>
        <w:spacing w:line="240" w:lineRule="auto" w:before="0" w:after="0"/>
        <w:ind w:left="1094" w:right="0" w:hanging="795"/>
        <w:jc w:val="left"/>
      </w:pPr>
      <w:bookmarkStart w:name="_bookmark80" w:id="129"/>
      <w:bookmarkEnd w:id="129"/>
      <w:r>
        <w:rPr>
          <w:b w:val="0"/>
        </w:rPr>
      </w:r>
      <w:bookmarkStart w:name="_bookmark80" w:id="130"/>
      <w:bookmarkEnd w:id="130"/>
      <w:r>
        <w:rPr>
          <w:color w:val="61B5E4"/>
        </w:rPr>
        <w:t>L</w:t>
      </w:r>
      <w:r>
        <w:rPr>
          <w:color w:val="61B5E4"/>
        </w:rPr>
        <w:t>essons for the implementation of future action</w:t>
      </w:r>
      <w:r>
        <w:rPr>
          <w:color w:val="61B5E4"/>
          <w:spacing w:val="-9"/>
        </w:rPr>
        <w:t> </w:t>
      </w:r>
      <w:r>
        <w:rPr>
          <w:color w:val="61B5E4"/>
        </w:rPr>
        <w:t>plans</w:t>
      </w:r>
    </w:p>
    <w:p>
      <w:pPr>
        <w:pStyle w:val="BodyText"/>
        <w:spacing w:before="20"/>
        <w:ind w:left="300"/>
        <w:rPr>
          <w:i/>
        </w:rPr>
      </w:pPr>
      <w:r>
        <w:rPr/>
        <w:t>There are three main suggested lessons to strengthen the implementation of future </w:t>
      </w:r>
      <w:r>
        <w:rPr>
          <w:i/>
        </w:rPr>
        <w:t>Our Way</w:t>
      </w:r>
    </w:p>
    <w:p>
      <w:pPr>
        <w:pStyle w:val="BodyText"/>
        <w:spacing w:before="22"/>
        <w:ind w:left="300"/>
      </w:pPr>
      <w:r>
        <w:rPr/>
        <w:t>action plans:</w:t>
      </w:r>
    </w:p>
    <w:p>
      <w:pPr>
        <w:pStyle w:val="Heading4"/>
        <w:numPr>
          <w:ilvl w:val="0"/>
          <w:numId w:val="36"/>
        </w:numPr>
        <w:tabs>
          <w:tab w:pos="661" w:val="left" w:leader="none"/>
        </w:tabs>
        <w:spacing w:line="264" w:lineRule="auto" w:before="189" w:after="0"/>
        <w:ind w:left="660" w:right="942" w:hanging="360"/>
        <w:jc w:val="left"/>
      </w:pPr>
      <w:r>
        <w:rPr/>
        <w:t>Increase focus on early intervention so that Aboriginal and Torres Strait Islander children do not enter the child protection system in the first place. Culture needs to be recognised as a critical protective factor which increases the resilience of Aboriginal and Torres Strait Islander families.</w:t>
      </w:r>
    </w:p>
    <w:p>
      <w:pPr>
        <w:pStyle w:val="BodyText"/>
        <w:spacing w:line="264" w:lineRule="auto" w:before="168"/>
        <w:ind w:left="300" w:right="821"/>
        <w:rPr>
          <w:i/>
        </w:rPr>
      </w:pPr>
      <w:r>
        <w:rPr/>
        <w:t>Stakeholders observed that there have been some improvements in some measures such as investment in community. However, this has yet to translate to meaningful improvements in outcomes (addressing the over-representation of Aboriginal and Torres Strait Islander children in the system). To address this, there should be greater focus on primary prevention initiatives – such as access to early childhood education, nutrition, long-term employment and safe housing in building the resilience of Aboriginal and Torres Strait Islander families. The importance of focusing on primary prevention initiatives is illustrated in the following stakeholder feedback – </w:t>
      </w:r>
      <w:r>
        <w:rPr>
          <w:i/>
          <w:color w:val="85BB24"/>
        </w:rPr>
        <w:t>“[Our Way] </w:t>
      </w:r>
      <w:r>
        <w:rPr>
          <w:i/>
          <w:color w:val="85BB24"/>
        </w:rPr>
        <w:t>needs to increase support for at-risk families to prevent the need for their children to enter the</w:t>
      </w:r>
    </w:p>
    <w:p>
      <w:pPr>
        <w:spacing w:line="214" w:lineRule="exact" w:before="0"/>
        <w:ind w:left="300" w:right="0" w:firstLine="0"/>
        <w:jc w:val="left"/>
        <w:rPr>
          <w:i/>
          <w:sz w:val="18"/>
        </w:rPr>
      </w:pPr>
      <w:r>
        <w:rPr>
          <w:i/>
          <w:color w:val="85BB24"/>
          <w:sz w:val="18"/>
        </w:rPr>
        <w:t>child protection system in the first place.”</w:t>
      </w:r>
    </w:p>
    <w:p>
      <w:pPr>
        <w:pStyle w:val="Heading4"/>
        <w:numPr>
          <w:ilvl w:val="0"/>
          <w:numId w:val="36"/>
        </w:numPr>
        <w:tabs>
          <w:tab w:pos="661" w:val="left" w:leader="none"/>
        </w:tabs>
        <w:spacing w:line="264" w:lineRule="auto" w:before="191" w:after="0"/>
        <w:ind w:left="660" w:right="1036" w:hanging="360"/>
        <w:jc w:val="left"/>
      </w:pPr>
      <w:r>
        <w:rPr/>
        <w:t>Ensure that future </w:t>
      </w:r>
      <w:r>
        <w:rPr>
          <w:i/>
        </w:rPr>
        <w:t>Our Way </w:t>
      </w:r>
      <w:r>
        <w:rPr/>
        <w:t>actions are bolder and more transformative to achieve the desired change in the</w:t>
      </w:r>
      <w:r>
        <w:rPr>
          <w:spacing w:val="1"/>
        </w:rPr>
        <w:t> </w:t>
      </w:r>
      <w:r>
        <w:rPr/>
        <w:t>system.</w:t>
      </w:r>
    </w:p>
    <w:p>
      <w:pPr>
        <w:spacing w:line="264" w:lineRule="auto" w:before="170"/>
        <w:ind w:left="300" w:right="856" w:firstLine="0"/>
        <w:jc w:val="left"/>
        <w:rPr>
          <w:i/>
          <w:sz w:val="18"/>
        </w:rPr>
      </w:pPr>
      <w:r>
        <w:rPr>
          <w:sz w:val="18"/>
        </w:rPr>
        <w:t>There have been pockets of improvement and commendable changes to the system since the implementation of </w:t>
      </w:r>
      <w:r>
        <w:rPr>
          <w:i/>
          <w:sz w:val="18"/>
        </w:rPr>
        <w:t>Our Way</w:t>
      </w:r>
      <w:r>
        <w:rPr>
          <w:sz w:val="18"/>
        </w:rPr>
        <w:t>. However, there is generally insufficient clarity on the extent to which existing actions represent an appropriate mix of programs and services to achieve </w:t>
      </w:r>
      <w:r>
        <w:rPr>
          <w:i/>
          <w:sz w:val="18"/>
        </w:rPr>
        <w:t>Our Way’s </w:t>
      </w:r>
      <w:r>
        <w:rPr>
          <w:sz w:val="18"/>
        </w:rPr>
        <w:t>key objectives. For example, one stakeholder said: </w:t>
      </w:r>
      <w:r>
        <w:rPr>
          <w:i/>
          <w:color w:val="85BB24"/>
          <w:sz w:val="18"/>
        </w:rPr>
        <w:t>“The organisation may be aware [of Our Way] but </w:t>
      </w:r>
      <w:r>
        <w:rPr>
          <w:i/>
          <w:color w:val="85BB24"/>
          <w:sz w:val="18"/>
        </w:rPr>
        <w:t>the actions toward vision alignment seems to be superficial and real change has not been</w:t>
      </w:r>
    </w:p>
    <w:p>
      <w:pPr>
        <w:pStyle w:val="BodyText"/>
        <w:spacing w:line="264" w:lineRule="auto"/>
        <w:ind w:left="300" w:right="811"/>
      </w:pPr>
      <w:r>
        <w:rPr>
          <w:i/>
          <w:color w:val="85BB24"/>
        </w:rPr>
        <w:t>observed.” </w:t>
      </w:r>
      <w:r>
        <w:rPr/>
        <w:t>During consultations, stakeholders raised concerns on the adequacy of existing actions and strategies to bring about the desired transformative change that was illustrated in the original </w:t>
      </w:r>
      <w:r>
        <w:rPr>
          <w:i/>
        </w:rPr>
        <w:t>Our Way </w:t>
      </w:r>
      <w:r>
        <w:rPr/>
        <w:t>strategy document. The transactional nature of actions also makes it challenging to understand how different actions are linked to the achievement of desired outcomes. The development of a program logic model for </w:t>
      </w:r>
      <w:r>
        <w:rPr>
          <w:i/>
        </w:rPr>
        <w:t>Our Way </w:t>
      </w:r>
      <w:r>
        <w:rPr/>
        <w:t>(see Section </w:t>
      </w:r>
      <w:hyperlink w:history="true" w:anchor="_bookmark91">
        <w:r>
          <w:rPr/>
          <w:t>6.2</w:t>
        </w:r>
      </w:hyperlink>
      <w:r>
        <w:rPr/>
        <w:t>) is intended to support ongoing efforts for different agencies to work towards common outcomes.</w:t>
      </w:r>
    </w:p>
    <w:p>
      <w:pPr>
        <w:pStyle w:val="BodyText"/>
        <w:spacing w:line="264" w:lineRule="auto" w:before="164"/>
        <w:ind w:left="300" w:right="744"/>
        <w:rPr>
          <w:i/>
        </w:rPr>
      </w:pPr>
      <w:r>
        <w:rPr/>
        <w:t>Moving forward, more significant and bolder changes are required to truly achieve the objectives of </w:t>
      </w:r>
      <w:r>
        <w:rPr>
          <w:i/>
        </w:rPr>
        <w:t>Our Way</w:t>
      </w:r>
      <w:r>
        <w:rPr/>
        <w:t>. All aspects of the system would need to reorient to place Aboriginal and Torres Islander children at the centre (as illustrated in the Theory of Change – </w:t>
      </w:r>
      <w:hyperlink w:history="true" w:anchor="_bookmark90">
        <w:r>
          <w:rPr/>
          <w:t>see Figure 6.2</w:t>
        </w:r>
      </w:hyperlink>
      <w:r>
        <w:rPr/>
        <w:t>). This means that all implementing agencies must see themselves as key actors of the </w:t>
      </w:r>
      <w:r>
        <w:rPr>
          <w:i/>
        </w:rPr>
        <w:t>Our Way </w:t>
      </w:r>
      <w:r>
        <w:rPr/>
        <w:t>system. More importantly, government agencies need to understand the role they play in influencing the socioeconomic determinants which contribute to the over-representation of Aboriginal and Torres Strait Islander children in the child protection system; and the ambitious actions required to address this. Some stakeholders said that it is insufficient to link existing initiatives to the </w:t>
      </w:r>
      <w:r>
        <w:rPr>
          <w:i/>
        </w:rPr>
        <w:t>Our</w:t>
      </w:r>
      <w:r>
        <w:rPr>
          <w:i/>
          <w:spacing w:val="-36"/>
        </w:rPr>
        <w:t> </w:t>
      </w:r>
      <w:r>
        <w:rPr>
          <w:i/>
        </w:rPr>
        <w:t>Way</w:t>
      </w:r>
    </w:p>
    <w:p>
      <w:pPr>
        <w:spacing w:after="0" w:line="264" w:lineRule="auto"/>
        <w:sectPr>
          <w:pgSz w:w="11910" w:h="16840"/>
          <w:pgMar w:header="650" w:footer="420" w:top="1340" w:bottom="620" w:left="1140" w:right="700"/>
        </w:sectPr>
      </w:pPr>
    </w:p>
    <w:p>
      <w:pPr>
        <w:pStyle w:val="BodyText"/>
        <w:spacing w:line="264" w:lineRule="auto" w:before="109"/>
        <w:ind w:left="300" w:right="1018"/>
      </w:pPr>
      <w:r>
        <w:rPr/>
        <w:t>as these actions – while meaningful and important – may not be sufficient to deliver the desired change within the specified time period of </w:t>
      </w:r>
      <w:r>
        <w:rPr>
          <w:i/>
        </w:rPr>
        <w:t>Our Way</w:t>
      </w:r>
      <w:r>
        <w:rPr/>
        <w:t>.</w:t>
      </w:r>
    </w:p>
    <w:p>
      <w:pPr>
        <w:pStyle w:val="Heading4"/>
        <w:numPr>
          <w:ilvl w:val="0"/>
          <w:numId w:val="36"/>
        </w:numPr>
        <w:tabs>
          <w:tab w:pos="661" w:val="left" w:leader="none"/>
        </w:tabs>
        <w:spacing w:line="264" w:lineRule="auto" w:before="169" w:after="0"/>
        <w:ind w:left="660" w:right="1472" w:hanging="360"/>
        <w:jc w:val="left"/>
      </w:pPr>
      <w:r>
        <w:rPr/>
        <w:t>Strengthen data collection mechanisms which incorporate community voice to measure the success of </w:t>
      </w:r>
      <w:r>
        <w:rPr>
          <w:i/>
        </w:rPr>
        <w:t>Our</w:t>
      </w:r>
      <w:r>
        <w:rPr>
          <w:i/>
          <w:spacing w:val="-2"/>
        </w:rPr>
        <w:t> </w:t>
      </w:r>
      <w:r>
        <w:rPr>
          <w:i/>
        </w:rPr>
        <w:t>Way</w:t>
      </w:r>
      <w:r>
        <w:rPr/>
        <w:t>.</w:t>
      </w:r>
    </w:p>
    <w:p>
      <w:pPr>
        <w:pStyle w:val="BodyText"/>
        <w:spacing w:line="264" w:lineRule="auto" w:before="169"/>
        <w:ind w:left="300" w:right="823"/>
      </w:pPr>
      <w:r>
        <w:rPr/>
        <w:t>The assessment of outcomes is currently hampered by a general paucity of evidence to monitor and assess progress. For example, one stakeholder identified the opportunity to measure alignment with the Child Placement Principle to inform funding and performance management decisions on individual service providers. This is further complicated by data ownership issues, where it is not clear or consistently understood who the data custodians are, despite </w:t>
      </w:r>
      <w:r>
        <w:rPr>
          <w:i/>
        </w:rPr>
        <w:t>Our Way </w:t>
      </w:r>
      <w:r>
        <w:rPr/>
        <w:t>and action plans outlining activities for lead agencies.</w:t>
      </w:r>
    </w:p>
    <w:p>
      <w:pPr>
        <w:spacing w:after="0" w:line="264" w:lineRule="auto"/>
        <w:sectPr>
          <w:pgSz w:w="11910" w:h="16840"/>
          <w:pgMar w:header="650" w:footer="420" w:top="1340" w:bottom="620" w:left="1140" w:right="700"/>
        </w:sectPr>
      </w:pPr>
    </w:p>
    <w:p>
      <w:pPr>
        <w:pStyle w:val="ListParagraph"/>
        <w:numPr>
          <w:ilvl w:val="0"/>
          <w:numId w:val="24"/>
        </w:numPr>
        <w:tabs>
          <w:tab w:pos="1094" w:val="left" w:leader="none"/>
          <w:tab w:pos="1095" w:val="left" w:leader="none"/>
        </w:tabs>
        <w:spacing w:line="240" w:lineRule="auto" w:before="90" w:after="0"/>
        <w:ind w:left="1094" w:right="0" w:hanging="795"/>
        <w:jc w:val="left"/>
        <w:rPr>
          <w:i/>
          <w:sz w:val="60"/>
        </w:rPr>
      </w:pPr>
      <w:bookmarkStart w:name="_bookmark81" w:id="131"/>
      <w:bookmarkEnd w:id="131"/>
      <w:r>
        <w:rPr/>
      </w:r>
      <w:bookmarkStart w:name="_bookmark81" w:id="132"/>
      <w:bookmarkEnd w:id="132"/>
      <w:r>
        <w:rPr>
          <w:sz w:val="60"/>
        </w:rPr>
        <w:t>Chang</w:t>
      </w:r>
      <w:r>
        <w:rPr>
          <w:sz w:val="60"/>
        </w:rPr>
        <w:t>ing the </w:t>
      </w:r>
      <w:r>
        <w:rPr>
          <w:i/>
          <w:sz w:val="60"/>
        </w:rPr>
        <w:t>Our</w:t>
      </w:r>
      <w:r>
        <w:rPr>
          <w:i/>
          <w:spacing w:val="-4"/>
          <w:sz w:val="60"/>
        </w:rPr>
        <w:t> </w:t>
      </w:r>
      <w:r>
        <w:rPr>
          <w:i/>
          <w:sz w:val="60"/>
        </w:rPr>
        <w:t>Way</w:t>
      </w:r>
    </w:p>
    <w:p>
      <w:pPr>
        <w:pStyle w:val="Heading1"/>
        <w:spacing w:before="0"/>
        <w:ind w:left="1094"/>
      </w:pPr>
      <w:r>
        <w:rPr/>
        <w:t>system</w:t>
      </w:r>
    </w:p>
    <w:p>
      <w:pPr>
        <w:spacing w:line="264" w:lineRule="auto" w:before="500"/>
        <w:ind w:left="300" w:right="1059" w:firstLine="0"/>
        <w:jc w:val="left"/>
        <w:rPr>
          <w:i/>
          <w:sz w:val="18"/>
        </w:rPr>
      </w:pPr>
      <w:r>
        <w:rPr>
          <w:i/>
          <w:sz w:val="18"/>
        </w:rPr>
        <w:t>This section provides evaluation artefacts (in the form of a Theory of Change and program logic </w:t>
      </w:r>
      <w:r>
        <w:rPr>
          <w:i/>
          <w:sz w:val="18"/>
        </w:rPr>
        <w:t>model) to strengthen the system’s ability to work together.</w:t>
      </w:r>
    </w:p>
    <w:p>
      <w:pPr>
        <w:pStyle w:val="BodyText"/>
        <w:spacing w:before="10"/>
        <w:rPr>
          <w:i/>
        </w:rPr>
      </w:pPr>
    </w:p>
    <w:p>
      <w:pPr>
        <w:pStyle w:val="Heading2"/>
        <w:numPr>
          <w:ilvl w:val="1"/>
          <w:numId w:val="24"/>
        </w:numPr>
        <w:tabs>
          <w:tab w:pos="1094" w:val="left" w:leader="none"/>
          <w:tab w:pos="1095" w:val="left" w:leader="none"/>
        </w:tabs>
        <w:spacing w:line="240" w:lineRule="auto" w:before="1" w:after="0"/>
        <w:ind w:left="1094" w:right="0" w:hanging="795"/>
        <w:jc w:val="left"/>
      </w:pPr>
      <w:bookmarkStart w:name="_bookmark82" w:id="133"/>
      <w:bookmarkEnd w:id="133"/>
      <w:r>
        <w:rPr>
          <w:b w:val="0"/>
        </w:rPr>
      </w:r>
      <w:bookmarkStart w:name="_bookmark82" w:id="134"/>
      <w:bookmarkEnd w:id="134"/>
      <w:r>
        <w:rPr>
          <w:color w:val="61B5E4"/>
        </w:rPr>
        <w:t>T</w:t>
      </w:r>
      <w:r>
        <w:rPr>
          <w:color w:val="61B5E4"/>
        </w:rPr>
        <w:t>heory of</w:t>
      </w:r>
      <w:r>
        <w:rPr>
          <w:color w:val="61B5E4"/>
          <w:spacing w:val="-3"/>
        </w:rPr>
        <w:t> </w:t>
      </w:r>
      <w:r>
        <w:rPr>
          <w:color w:val="61B5E4"/>
        </w:rPr>
        <w:t>Change</w:t>
      </w:r>
    </w:p>
    <w:p>
      <w:pPr>
        <w:pStyle w:val="Heading4"/>
        <w:numPr>
          <w:ilvl w:val="2"/>
          <w:numId w:val="24"/>
        </w:numPr>
        <w:tabs>
          <w:tab w:pos="1320" w:val="left" w:leader="none"/>
          <w:tab w:pos="1321" w:val="left" w:leader="none"/>
        </w:tabs>
        <w:spacing w:line="240" w:lineRule="auto" w:before="20" w:after="0"/>
        <w:ind w:left="1320" w:right="0" w:hanging="1021"/>
        <w:jc w:val="left"/>
      </w:pPr>
      <w:bookmarkStart w:name="_bookmark83" w:id="135"/>
      <w:bookmarkEnd w:id="135"/>
      <w:r>
        <w:rPr>
          <w:b w:val="0"/>
        </w:rPr>
      </w:r>
      <w:bookmarkStart w:name="_bookmark83" w:id="136"/>
      <w:bookmarkEnd w:id="136"/>
      <w:r>
        <w:rPr/>
        <w:t>De</w:t>
      </w:r>
      <w:r>
        <w:rPr/>
        <w:t>finition</w:t>
      </w:r>
    </w:p>
    <w:p>
      <w:pPr>
        <w:pStyle w:val="BodyText"/>
        <w:spacing w:line="264" w:lineRule="auto" w:before="21"/>
        <w:ind w:left="300" w:right="931"/>
      </w:pPr>
      <w:r>
        <w:rPr/>
        <w:t>A Theory of Change explains how the activities undertaken by an intervention (such as a project, program or policy) will contribute to a chain of results that leads to the intended or observed outcomes and impacts. A Theory of Change is a useful tool for describing how particular ways of working or activities can contribute towards the attainment of desired outcomes.</w:t>
      </w:r>
    </w:p>
    <w:p>
      <w:pPr>
        <w:pStyle w:val="Heading4"/>
        <w:numPr>
          <w:ilvl w:val="2"/>
          <w:numId w:val="24"/>
        </w:numPr>
        <w:tabs>
          <w:tab w:pos="1320" w:val="left" w:leader="none"/>
          <w:tab w:pos="1321" w:val="left" w:leader="none"/>
        </w:tabs>
        <w:spacing w:line="240" w:lineRule="auto" w:before="168" w:after="0"/>
        <w:ind w:left="1320" w:right="0" w:hanging="1021"/>
        <w:jc w:val="left"/>
      </w:pPr>
      <w:bookmarkStart w:name="_bookmark84" w:id="137"/>
      <w:bookmarkEnd w:id="137"/>
      <w:r>
        <w:rPr>
          <w:b w:val="0"/>
        </w:rPr>
      </w:r>
      <w:bookmarkStart w:name="_bookmark84" w:id="138"/>
      <w:bookmarkEnd w:id="138"/>
      <w:r>
        <w:rPr/>
        <w:t>Ra</w:t>
      </w:r>
      <w:r>
        <w:rPr/>
        <w:t>tionale of developing a Theory of</w:t>
      </w:r>
      <w:r>
        <w:rPr>
          <w:spacing w:val="-3"/>
        </w:rPr>
        <w:t> </w:t>
      </w:r>
      <w:r>
        <w:rPr/>
        <w:t>Change</w:t>
      </w:r>
    </w:p>
    <w:p>
      <w:pPr>
        <w:pStyle w:val="BodyText"/>
        <w:spacing w:line="264" w:lineRule="auto" w:before="21"/>
        <w:ind w:left="300" w:right="727"/>
      </w:pPr>
      <w:r>
        <w:rPr/>
        <w:t>Since the implementation of </w:t>
      </w:r>
      <w:r>
        <w:rPr>
          <w:i/>
        </w:rPr>
        <w:t>Our Way </w:t>
      </w:r>
      <w:r>
        <w:rPr/>
        <w:t>in 2017, there has been notable progress in specific areas, with most actions included in action plans on track to be fully implemented. However, as illustrated in Chapter 5, there is generally insufficient clarity on the extent to which the actions and activities being delivered under </w:t>
      </w:r>
      <w:r>
        <w:rPr>
          <w:i/>
        </w:rPr>
        <w:t>Our Way </w:t>
      </w:r>
      <w:r>
        <w:rPr/>
        <w:t>were contributing to the achievement of the desired outcomes.</w:t>
      </w:r>
    </w:p>
    <w:p>
      <w:pPr>
        <w:pStyle w:val="BodyText"/>
        <w:spacing w:line="264" w:lineRule="auto"/>
        <w:ind w:left="300" w:right="762"/>
      </w:pPr>
      <w:r>
        <w:rPr/>
        <w:t>While there is continued agreement with the intent and vision of </w:t>
      </w:r>
      <w:r>
        <w:rPr>
          <w:i/>
        </w:rPr>
        <w:t>Our Way</w:t>
      </w:r>
      <w:r>
        <w:rPr/>
        <w:t>, the implementation of positive changes remains confined to specific aspects of the system. This Theory of Change is therefore intended to develop a clearer link between the objectives of </w:t>
      </w:r>
      <w:r>
        <w:rPr>
          <w:i/>
        </w:rPr>
        <w:t>Our Way</w:t>
      </w:r>
      <w:r>
        <w:rPr/>
        <w:t>, the change sought and the actions required to achieve these objectives. It aims to provide guidance to all system stakeholders, who have a collective responsibility to align their strategy, policy and practice with </w:t>
      </w:r>
      <w:r>
        <w:rPr>
          <w:i/>
        </w:rPr>
        <w:t>Our Way’s </w:t>
      </w:r>
      <w:r>
        <w:rPr/>
        <w:t>principles.</w:t>
      </w:r>
    </w:p>
    <w:p>
      <w:pPr>
        <w:pStyle w:val="Heading4"/>
        <w:numPr>
          <w:ilvl w:val="2"/>
          <w:numId w:val="24"/>
        </w:numPr>
        <w:tabs>
          <w:tab w:pos="1320" w:val="left" w:leader="none"/>
          <w:tab w:pos="1321" w:val="left" w:leader="none"/>
        </w:tabs>
        <w:spacing w:line="240" w:lineRule="auto" w:before="165" w:after="0"/>
        <w:ind w:left="1320" w:right="0" w:hanging="1021"/>
        <w:jc w:val="left"/>
      </w:pPr>
      <w:bookmarkStart w:name="_bookmark85" w:id="139"/>
      <w:bookmarkEnd w:id="139"/>
      <w:r>
        <w:rPr>
          <w:b w:val="0"/>
        </w:rPr>
      </w:r>
      <w:bookmarkStart w:name="_bookmark85" w:id="140"/>
      <w:bookmarkEnd w:id="140"/>
      <w:r>
        <w:rPr/>
        <w:t>A</w:t>
      </w:r>
      <w:r>
        <w:rPr/>
        <w:t>pproach to developing the Theory of</w:t>
      </w:r>
      <w:r>
        <w:rPr>
          <w:spacing w:val="-1"/>
        </w:rPr>
        <w:t> </w:t>
      </w:r>
      <w:r>
        <w:rPr/>
        <w:t>Change</w:t>
      </w:r>
    </w:p>
    <w:p>
      <w:pPr>
        <w:pStyle w:val="BodyText"/>
        <w:spacing w:line="264" w:lineRule="auto" w:before="21"/>
        <w:ind w:left="300" w:right="881"/>
      </w:pPr>
      <w:r>
        <w:rPr/>
        <w:t>This Theory of Change has been developed through extensive workshop discussions with government stakeholders, ACCOs and Aboriginal and Torres Strait Islander leaders. The second workshop notably had significant representation from the Aboriginal and Torres Strait Islander community. This is aligned with the intent of embedding co-design and community voice in the design of </w:t>
      </w:r>
      <w:r>
        <w:rPr>
          <w:i/>
        </w:rPr>
        <w:t>Our Way </w:t>
      </w:r>
      <w:r>
        <w:rPr/>
        <w:t>and its evaluation. There were three main activities which informed the design of the Theory of Change:</w:t>
      </w:r>
    </w:p>
    <w:p>
      <w:pPr>
        <w:pStyle w:val="Heading4"/>
        <w:numPr>
          <w:ilvl w:val="0"/>
          <w:numId w:val="37"/>
        </w:numPr>
        <w:tabs>
          <w:tab w:pos="661" w:val="left" w:leader="none"/>
        </w:tabs>
        <w:spacing w:line="240" w:lineRule="auto" w:before="167" w:after="0"/>
        <w:ind w:left="660" w:right="0" w:hanging="361"/>
        <w:jc w:val="left"/>
      </w:pPr>
      <w:r>
        <w:rPr/>
        <w:t>Vision</w:t>
      </w:r>
      <w:r>
        <w:rPr>
          <w:spacing w:val="-4"/>
        </w:rPr>
        <w:t> </w:t>
      </w:r>
      <w:r>
        <w:rPr/>
        <w:t>exercise</w:t>
      </w:r>
    </w:p>
    <w:p>
      <w:pPr>
        <w:pStyle w:val="BodyText"/>
        <w:spacing w:line="264" w:lineRule="auto" w:before="191"/>
        <w:ind w:left="300" w:right="800"/>
      </w:pPr>
      <w:r>
        <w:rPr/>
        <w:t>Workshop participants were asked to articulate </w:t>
      </w:r>
      <w:r>
        <w:rPr>
          <w:i/>
        </w:rPr>
        <w:t>Our Way’s </w:t>
      </w:r>
      <w:r>
        <w:rPr/>
        <w:t>vision through the question “if </w:t>
      </w:r>
      <w:r>
        <w:rPr>
          <w:i/>
        </w:rPr>
        <w:t>Our Way </w:t>
      </w:r>
      <w:r>
        <w:rPr/>
        <w:t>has been successfully implemented in 10 years, what are Aboriginal and Torres Strait Islander children and families experiencing in Queensland? The word cloud in </w:t>
      </w:r>
      <w:hyperlink w:history="true" w:anchor="_bookmark86">
        <w:r>
          <w:rPr/>
          <w:t>Figure 6.1 </w:t>
        </w:r>
      </w:hyperlink>
      <w:r>
        <w:rPr/>
        <w:t>summarises the feedback received from stakeholders. Through this exercise, the following five key themes were assessed to be most prominent – access to self-determination, empowering Aboriginal and Torres Strait Islander peoples, healing, connection and strength. These key themes have been embedded within the Theory of Change and are described below:</w:t>
      </w:r>
    </w:p>
    <w:p>
      <w:pPr>
        <w:pStyle w:val="ListParagraph"/>
        <w:numPr>
          <w:ilvl w:val="1"/>
          <w:numId w:val="33"/>
        </w:numPr>
        <w:tabs>
          <w:tab w:pos="660" w:val="left" w:leader="none"/>
          <w:tab w:pos="661" w:val="left" w:leader="none"/>
        </w:tabs>
        <w:spacing w:line="261" w:lineRule="auto" w:before="165" w:after="0"/>
        <w:ind w:left="660" w:right="1407" w:hanging="360"/>
        <w:jc w:val="left"/>
        <w:rPr>
          <w:sz w:val="18"/>
        </w:rPr>
      </w:pPr>
      <w:r>
        <w:rPr>
          <w:sz w:val="18"/>
        </w:rPr>
        <w:t>The current system is wrong, as Aboriginal and Torres Strait Islander families are at the bottom, rather than the top of the</w:t>
      </w:r>
      <w:r>
        <w:rPr>
          <w:spacing w:val="-9"/>
          <w:sz w:val="18"/>
        </w:rPr>
        <w:t> </w:t>
      </w:r>
      <w:r>
        <w:rPr>
          <w:sz w:val="18"/>
        </w:rPr>
        <w:t>system.</w:t>
      </w:r>
    </w:p>
    <w:p>
      <w:pPr>
        <w:pStyle w:val="ListParagraph"/>
        <w:numPr>
          <w:ilvl w:val="1"/>
          <w:numId w:val="33"/>
        </w:numPr>
        <w:tabs>
          <w:tab w:pos="660" w:val="left" w:leader="none"/>
          <w:tab w:pos="661" w:val="left" w:leader="none"/>
        </w:tabs>
        <w:spacing w:line="261" w:lineRule="auto" w:before="1" w:after="0"/>
        <w:ind w:left="660" w:right="883" w:hanging="360"/>
        <w:jc w:val="left"/>
        <w:rPr>
          <w:sz w:val="18"/>
        </w:rPr>
      </w:pPr>
      <w:r>
        <w:rPr>
          <w:sz w:val="18"/>
        </w:rPr>
        <w:t>The status quo is unacceptable – the government needs to change the way they are currently working with Aboriginal and Torres Strait Islander peoples. In particular, there were strong calls for government to step back and let go so that families can make decisions for themselves.</w:t>
      </w:r>
    </w:p>
    <w:p>
      <w:pPr>
        <w:pStyle w:val="ListParagraph"/>
        <w:numPr>
          <w:ilvl w:val="1"/>
          <w:numId w:val="33"/>
        </w:numPr>
        <w:tabs>
          <w:tab w:pos="660" w:val="left" w:leader="none"/>
          <w:tab w:pos="661" w:val="left" w:leader="none"/>
        </w:tabs>
        <w:spacing w:line="261" w:lineRule="auto" w:before="4" w:after="0"/>
        <w:ind w:left="660" w:right="1040" w:hanging="360"/>
        <w:jc w:val="left"/>
        <w:rPr>
          <w:sz w:val="18"/>
        </w:rPr>
      </w:pPr>
      <w:r>
        <w:rPr>
          <w:sz w:val="18"/>
        </w:rPr>
        <w:t>The Priority Reform Areas in the Closing the Gap agreement are considered to be generally appropriate for </w:t>
      </w:r>
      <w:r>
        <w:rPr>
          <w:i/>
          <w:sz w:val="18"/>
        </w:rPr>
        <w:t>Our Way</w:t>
      </w:r>
      <w:r>
        <w:rPr>
          <w:sz w:val="18"/>
        </w:rPr>
        <w:t>. There should therefore be consideration of how to align </w:t>
      </w:r>
      <w:r>
        <w:rPr>
          <w:i/>
          <w:sz w:val="18"/>
        </w:rPr>
        <w:t>Our Way’s </w:t>
      </w:r>
      <w:r>
        <w:rPr>
          <w:sz w:val="18"/>
        </w:rPr>
        <w:t>Theory of Change to</w:t>
      </w:r>
      <w:r>
        <w:rPr>
          <w:spacing w:val="-4"/>
          <w:sz w:val="18"/>
        </w:rPr>
        <w:t> </w:t>
      </w:r>
      <w:r>
        <w:rPr>
          <w:sz w:val="18"/>
        </w:rPr>
        <w:t>them.</w:t>
      </w:r>
    </w:p>
    <w:p>
      <w:pPr>
        <w:spacing w:after="0" w:line="261" w:lineRule="auto"/>
        <w:jc w:val="left"/>
        <w:rPr>
          <w:sz w:val="18"/>
        </w:rPr>
        <w:sectPr>
          <w:pgSz w:w="11910" w:h="16840"/>
          <w:pgMar w:header="650" w:footer="420" w:top="1340" w:bottom="620" w:left="1140" w:right="700"/>
        </w:sectPr>
      </w:pPr>
    </w:p>
    <w:p>
      <w:pPr>
        <w:spacing w:before="121"/>
        <w:ind w:left="316" w:right="0" w:firstLine="0"/>
        <w:jc w:val="left"/>
        <w:rPr>
          <w:sz w:val="17"/>
        </w:rPr>
      </w:pPr>
      <w:r>
        <w:rPr>
          <w:position w:val="-3"/>
        </w:rPr>
        <w:drawing>
          <wp:inline distT="0" distB="0" distL="0" distR="0">
            <wp:extent cx="532618" cy="104228"/>
            <wp:effectExtent l="0" t="0" r="0" b="0"/>
            <wp:docPr id="51" name="image48.png"/>
            <wp:cNvGraphicFramePr>
              <a:graphicFrameLocks noChangeAspect="1"/>
            </wp:cNvGraphicFramePr>
            <a:graphic>
              <a:graphicData uri="http://schemas.openxmlformats.org/drawingml/2006/picture">
                <pic:pic>
                  <pic:nvPicPr>
                    <pic:cNvPr id="52" name="image48.png"/>
                    <pic:cNvPicPr/>
                  </pic:nvPicPr>
                  <pic:blipFill>
                    <a:blip r:embed="rId72" cstate="print"/>
                    <a:stretch>
                      <a:fillRect/>
                    </a:stretch>
                  </pic:blipFill>
                  <pic:spPr>
                    <a:xfrm>
                      <a:off x="0" y="0"/>
                      <a:ext cx="532618" cy="104228"/>
                    </a:xfrm>
                    <a:prstGeom prst="rect">
                      <a:avLst/>
                    </a:prstGeom>
                  </pic:spPr>
                </pic:pic>
              </a:graphicData>
            </a:graphic>
          </wp:inline>
        </w:drawing>
      </w:r>
      <w:r>
        <w:rPr>
          <w:position w:val="-3"/>
        </w:rPr>
      </w:r>
      <w:r>
        <w:rPr>
          <w:rFonts w:ascii="Times New Roman" w:hAnsi="Times New Roman"/>
          <w:spacing w:val="23"/>
          <w:sz w:val="20"/>
        </w:rPr>
        <w:t> </w:t>
      </w:r>
      <w:bookmarkStart w:name="_bookmark86" w:id="141"/>
      <w:bookmarkEnd w:id="141"/>
      <w:r>
        <w:rPr>
          <w:rFonts w:ascii="Times New Roman" w:hAnsi="Times New Roman"/>
          <w:spacing w:val="23"/>
          <w:sz w:val="20"/>
        </w:rPr>
      </w:r>
      <w:r>
        <w:rPr>
          <w:color w:val="75787A"/>
          <w:sz w:val="17"/>
        </w:rPr>
        <w:t>Word cloud for “if </w:t>
      </w:r>
      <w:r>
        <w:rPr>
          <w:i/>
          <w:color w:val="75787A"/>
          <w:sz w:val="17"/>
        </w:rPr>
        <w:t>Our Way </w:t>
      </w:r>
      <w:r>
        <w:rPr>
          <w:color w:val="75787A"/>
          <w:sz w:val="17"/>
        </w:rPr>
        <w:t>has been successfully implemented in 10 years, what</w:t>
      </w:r>
      <w:r>
        <w:rPr>
          <w:color w:val="75787A"/>
          <w:spacing w:val="-16"/>
          <w:sz w:val="17"/>
        </w:rPr>
        <w:t> </w:t>
      </w:r>
      <w:r>
        <w:rPr>
          <w:color w:val="75787A"/>
          <w:sz w:val="17"/>
        </w:rPr>
        <w:t>are</w:t>
      </w:r>
    </w:p>
    <w:p>
      <w:pPr>
        <w:spacing w:before="30"/>
        <w:ind w:left="300" w:right="0" w:firstLine="0"/>
        <w:jc w:val="left"/>
        <w:rPr>
          <w:sz w:val="17"/>
        </w:rPr>
      </w:pPr>
      <w:r>
        <w:rPr>
          <w:color w:val="75787A"/>
          <w:sz w:val="17"/>
        </w:rPr>
        <w:t>Aboriginal and Torres Strait Islander children and families experiencing in Queensland?”</w:t>
      </w:r>
    </w:p>
    <w:p>
      <w:pPr>
        <w:pStyle w:val="BodyText"/>
        <w:spacing w:before="10"/>
        <w:rPr>
          <w:sz w:val="10"/>
        </w:rPr>
      </w:pPr>
      <w:r>
        <w:rPr/>
        <w:drawing>
          <wp:anchor distT="0" distB="0" distL="0" distR="0" allowOverlap="1" layoutInCell="1" locked="0" behindDoc="0" simplePos="0" relativeHeight="134">
            <wp:simplePos x="0" y="0"/>
            <wp:positionH relativeFrom="page">
              <wp:posOffset>914400</wp:posOffset>
            </wp:positionH>
            <wp:positionV relativeFrom="paragraph">
              <wp:posOffset>108396</wp:posOffset>
            </wp:positionV>
            <wp:extent cx="5724336" cy="2316479"/>
            <wp:effectExtent l="0" t="0" r="0" b="0"/>
            <wp:wrapTopAndBottom/>
            <wp:docPr id="53" name="image49.jpeg"/>
            <wp:cNvGraphicFramePr>
              <a:graphicFrameLocks noChangeAspect="1"/>
            </wp:cNvGraphicFramePr>
            <a:graphic>
              <a:graphicData uri="http://schemas.openxmlformats.org/drawingml/2006/picture">
                <pic:pic>
                  <pic:nvPicPr>
                    <pic:cNvPr id="54" name="image49.jpeg"/>
                    <pic:cNvPicPr/>
                  </pic:nvPicPr>
                  <pic:blipFill>
                    <a:blip r:embed="rId73" cstate="print"/>
                    <a:stretch>
                      <a:fillRect/>
                    </a:stretch>
                  </pic:blipFill>
                  <pic:spPr>
                    <a:xfrm>
                      <a:off x="0" y="0"/>
                      <a:ext cx="5724336" cy="2316479"/>
                    </a:xfrm>
                    <a:prstGeom prst="rect">
                      <a:avLst/>
                    </a:prstGeom>
                  </pic:spPr>
                </pic:pic>
              </a:graphicData>
            </a:graphic>
          </wp:anchor>
        </w:drawing>
      </w:r>
    </w:p>
    <w:p>
      <w:pPr>
        <w:pStyle w:val="BodyText"/>
        <w:spacing w:before="5"/>
        <w:rPr>
          <w:sz w:val="16"/>
        </w:rPr>
      </w:pPr>
    </w:p>
    <w:p>
      <w:pPr>
        <w:spacing w:before="0"/>
        <w:ind w:left="300" w:right="0" w:firstLine="0"/>
        <w:jc w:val="left"/>
        <w:rPr>
          <w:sz w:val="16"/>
        </w:rPr>
      </w:pPr>
      <w:r>
        <w:rPr>
          <w:color w:val="75787A"/>
          <w:sz w:val="16"/>
        </w:rPr>
        <w:t>Source: </w:t>
      </w:r>
      <w:r>
        <w:rPr>
          <w:i/>
          <w:color w:val="75787A"/>
          <w:sz w:val="16"/>
        </w:rPr>
        <w:t>Our Way </w:t>
      </w:r>
      <w:r>
        <w:rPr>
          <w:color w:val="75787A"/>
          <w:sz w:val="16"/>
        </w:rPr>
        <w:t>Theory of Change workshop</w:t>
      </w:r>
    </w:p>
    <w:p>
      <w:pPr>
        <w:pStyle w:val="BodyText"/>
        <w:spacing w:before="9"/>
        <w:rPr>
          <w:sz w:val="15"/>
        </w:rPr>
      </w:pPr>
    </w:p>
    <w:p>
      <w:pPr>
        <w:pStyle w:val="Heading4"/>
        <w:numPr>
          <w:ilvl w:val="0"/>
          <w:numId w:val="37"/>
        </w:numPr>
        <w:tabs>
          <w:tab w:pos="661" w:val="left" w:leader="none"/>
        </w:tabs>
        <w:spacing w:line="240" w:lineRule="auto" w:before="0" w:after="0"/>
        <w:ind w:left="660" w:right="0" w:hanging="361"/>
        <w:jc w:val="left"/>
      </w:pPr>
      <w:r>
        <w:rPr/>
        <w:t>Future actions</w:t>
      </w:r>
    </w:p>
    <w:p>
      <w:pPr>
        <w:pStyle w:val="BodyText"/>
        <w:spacing w:line="264" w:lineRule="auto" w:before="189"/>
        <w:ind w:left="300" w:right="913"/>
      </w:pPr>
      <w:r>
        <w:rPr/>
        <w:t>Workshop participants were asked to outline key actions that system stakeholders should stop, start and continue doing to attain </w:t>
      </w:r>
      <w:r>
        <w:rPr>
          <w:i/>
        </w:rPr>
        <w:t>Our Way’s </w:t>
      </w:r>
      <w:r>
        <w:rPr/>
        <w:t>objectives. The table below summarises key themes that emerged through this discussion.</w:t>
      </w:r>
    </w:p>
    <w:p>
      <w:pPr>
        <w:pStyle w:val="BodyText"/>
        <w:spacing w:before="7"/>
        <w:rPr>
          <w:sz w:val="20"/>
        </w:rPr>
      </w:pPr>
    </w:p>
    <w:p>
      <w:pPr>
        <w:spacing w:before="1"/>
        <w:ind w:left="300" w:right="0" w:firstLine="0"/>
        <w:jc w:val="left"/>
        <w:rPr>
          <w:sz w:val="17"/>
        </w:rPr>
      </w:pPr>
      <w:r>
        <w:rPr>
          <w:color w:val="75787A"/>
          <w:sz w:val="17"/>
        </w:rPr>
        <w:t>Table </w:t>
      </w:r>
      <w:bookmarkStart w:name="_bookmark87" w:id="142"/>
      <w:bookmarkEnd w:id="142"/>
      <w:r>
        <w:rPr>
          <w:color w:val="75787A"/>
          <w:sz w:val="17"/>
        </w:rPr>
        <w:t>6.1</w:t>
      </w:r>
      <w:r>
        <w:rPr>
          <w:color w:val="75787A"/>
          <w:sz w:val="17"/>
        </w:rPr>
        <w:t> Detailed feedback received on actions to achieve </w:t>
      </w:r>
      <w:r>
        <w:rPr>
          <w:i/>
          <w:color w:val="75787A"/>
          <w:sz w:val="17"/>
        </w:rPr>
        <w:t>Our Way’s </w:t>
      </w:r>
      <w:r>
        <w:rPr>
          <w:color w:val="75787A"/>
          <w:sz w:val="17"/>
        </w:rPr>
        <w:t>objectives</w:t>
      </w:r>
    </w:p>
    <w:p>
      <w:pPr>
        <w:pStyle w:val="BodyText"/>
        <w:spacing w:before="9"/>
        <w:rPr>
          <w:sz w:val="19"/>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2"/>
        <w:gridCol w:w="6260"/>
      </w:tblGrid>
      <w:tr>
        <w:trPr>
          <w:trHeight w:val="516" w:hRule="atLeast"/>
        </w:trPr>
        <w:tc>
          <w:tcPr>
            <w:tcW w:w="2782" w:type="dxa"/>
            <w:tcBorders>
              <w:top w:val="single" w:sz="24" w:space="0" w:color="61B5E4"/>
              <w:bottom w:val="single" w:sz="34" w:space="0" w:color="DFEFF8"/>
            </w:tcBorders>
          </w:tcPr>
          <w:p>
            <w:pPr>
              <w:pStyle w:val="TableParagraph"/>
              <w:spacing w:before="90"/>
              <w:ind w:left="71"/>
              <w:rPr>
                <w:sz w:val="17"/>
              </w:rPr>
            </w:pPr>
            <w:r>
              <w:rPr>
                <w:sz w:val="17"/>
              </w:rPr>
              <w:t>Key themes</w:t>
            </w:r>
          </w:p>
        </w:tc>
        <w:tc>
          <w:tcPr>
            <w:tcW w:w="6260" w:type="dxa"/>
            <w:tcBorders>
              <w:top w:val="single" w:sz="24" w:space="0" w:color="61B5E4"/>
              <w:bottom w:val="single" w:sz="34" w:space="0" w:color="DFEFF8"/>
            </w:tcBorders>
          </w:tcPr>
          <w:p>
            <w:pPr>
              <w:pStyle w:val="TableParagraph"/>
              <w:spacing w:before="90"/>
              <w:ind w:left="103"/>
              <w:rPr>
                <w:sz w:val="17"/>
              </w:rPr>
            </w:pPr>
            <w:r>
              <w:rPr>
                <w:sz w:val="17"/>
              </w:rPr>
              <w:t>Example of feedback from stakeholders</w:t>
            </w:r>
          </w:p>
        </w:tc>
      </w:tr>
      <w:tr>
        <w:trPr>
          <w:trHeight w:val="390" w:hRule="atLeast"/>
        </w:trPr>
        <w:tc>
          <w:tcPr>
            <w:tcW w:w="9042" w:type="dxa"/>
            <w:gridSpan w:val="2"/>
            <w:tcBorders>
              <w:top w:val="single" w:sz="4" w:space="0" w:color="000000"/>
              <w:bottom w:val="single" w:sz="4" w:space="0" w:color="000000"/>
            </w:tcBorders>
            <w:shd w:val="clear" w:color="auto" w:fill="DFEFF8"/>
          </w:tcPr>
          <w:p>
            <w:pPr>
              <w:pStyle w:val="TableParagraph"/>
              <w:spacing w:before="24"/>
              <w:ind w:left="14"/>
              <w:rPr>
                <w:b/>
                <w:sz w:val="17"/>
              </w:rPr>
            </w:pPr>
            <w:r>
              <w:rPr>
                <w:b/>
                <w:sz w:val="17"/>
              </w:rPr>
              <w:t>Theme 1: Recognising transformational change in the system</w:t>
            </w:r>
          </w:p>
        </w:tc>
      </w:tr>
      <w:tr>
        <w:trPr>
          <w:trHeight w:val="2437" w:hRule="atLeast"/>
        </w:trPr>
        <w:tc>
          <w:tcPr>
            <w:tcW w:w="2782" w:type="dxa"/>
            <w:tcBorders>
              <w:top w:val="single" w:sz="34" w:space="0" w:color="DFEFF8"/>
              <w:bottom w:val="single" w:sz="4" w:space="0" w:color="000000"/>
            </w:tcBorders>
          </w:tcPr>
          <w:p>
            <w:pPr>
              <w:pStyle w:val="TableParagraph"/>
              <w:spacing w:line="278" w:lineRule="auto" w:before="81"/>
              <w:ind w:left="431" w:hanging="360"/>
              <w:rPr>
                <w:sz w:val="17"/>
              </w:rPr>
            </w:pPr>
            <w:r>
              <w:rPr>
                <w:sz w:val="17"/>
              </w:rPr>
              <w:t>1. Government to relinquish control</w:t>
            </w:r>
          </w:p>
        </w:tc>
        <w:tc>
          <w:tcPr>
            <w:tcW w:w="6260" w:type="dxa"/>
            <w:tcBorders>
              <w:top w:val="single" w:sz="34" w:space="0" w:color="DFEFF8"/>
              <w:bottom w:val="single" w:sz="4" w:space="0" w:color="000000"/>
            </w:tcBorders>
          </w:tcPr>
          <w:p>
            <w:pPr>
              <w:pStyle w:val="TableParagraph"/>
              <w:numPr>
                <w:ilvl w:val="0"/>
                <w:numId w:val="38"/>
              </w:numPr>
              <w:tabs>
                <w:tab w:pos="405" w:val="left" w:leader="none"/>
                <w:tab w:pos="406" w:val="left" w:leader="none"/>
              </w:tabs>
              <w:spacing w:line="240" w:lineRule="auto" w:before="81" w:after="0"/>
              <w:ind w:left="405" w:right="0" w:hanging="361"/>
              <w:jc w:val="left"/>
              <w:rPr>
                <w:i/>
                <w:sz w:val="17"/>
              </w:rPr>
            </w:pPr>
            <w:r>
              <w:rPr>
                <w:i/>
                <w:sz w:val="17"/>
              </w:rPr>
              <w:t>“Being open to</w:t>
            </w:r>
            <w:r>
              <w:rPr>
                <w:i/>
                <w:spacing w:val="-4"/>
                <w:sz w:val="17"/>
              </w:rPr>
              <w:t> </w:t>
            </w:r>
            <w:r>
              <w:rPr>
                <w:i/>
                <w:sz w:val="17"/>
              </w:rPr>
              <w:t>change”</w:t>
            </w:r>
          </w:p>
          <w:p>
            <w:pPr>
              <w:pStyle w:val="TableParagraph"/>
              <w:numPr>
                <w:ilvl w:val="0"/>
                <w:numId w:val="38"/>
              </w:numPr>
              <w:tabs>
                <w:tab w:pos="405" w:val="left" w:leader="none"/>
                <w:tab w:pos="406" w:val="left" w:leader="none"/>
              </w:tabs>
              <w:spacing w:line="240" w:lineRule="auto" w:before="32" w:after="0"/>
              <w:ind w:left="405" w:right="0" w:hanging="361"/>
              <w:jc w:val="left"/>
              <w:rPr>
                <w:i/>
                <w:sz w:val="17"/>
              </w:rPr>
            </w:pPr>
            <w:r>
              <w:rPr>
                <w:i/>
                <w:sz w:val="17"/>
              </w:rPr>
              <w:t>“Accepting there is no one right</w:t>
            </w:r>
            <w:r>
              <w:rPr>
                <w:i/>
                <w:spacing w:val="-6"/>
                <w:sz w:val="17"/>
              </w:rPr>
              <w:t> </w:t>
            </w:r>
            <w:r>
              <w:rPr>
                <w:i/>
                <w:sz w:val="17"/>
              </w:rPr>
              <w:t>way”</w:t>
            </w:r>
          </w:p>
          <w:p>
            <w:pPr>
              <w:pStyle w:val="TableParagraph"/>
              <w:numPr>
                <w:ilvl w:val="0"/>
                <w:numId w:val="38"/>
              </w:numPr>
              <w:tabs>
                <w:tab w:pos="405" w:val="left" w:leader="none"/>
                <w:tab w:pos="406" w:val="left" w:leader="none"/>
              </w:tabs>
              <w:spacing w:line="240" w:lineRule="auto" w:before="32" w:after="0"/>
              <w:ind w:left="405" w:right="0" w:hanging="361"/>
              <w:jc w:val="left"/>
              <w:rPr>
                <w:i/>
                <w:sz w:val="17"/>
              </w:rPr>
            </w:pPr>
            <w:r>
              <w:rPr>
                <w:i/>
                <w:sz w:val="17"/>
              </w:rPr>
              <w:t>“Challenging each</w:t>
            </w:r>
            <w:r>
              <w:rPr>
                <w:i/>
                <w:spacing w:val="-4"/>
                <w:sz w:val="17"/>
              </w:rPr>
              <w:t> </w:t>
            </w:r>
            <w:r>
              <w:rPr>
                <w:i/>
                <w:sz w:val="17"/>
              </w:rPr>
              <w:t>other”</w:t>
            </w:r>
          </w:p>
          <w:p>
            <w:pPr>
              <w:pStyle w:val="TableParagraph"/>
              <w:numPr>
                <w:ilvl w:val="0"/>
                <w:numId w:val="38"/>
              </w:numPr>
              <w:tabs>
                <w:tab w:pos="405" w:val="left" w:leader="none"/>
                <w:tab w:pos="406" w:val="left" w:leader="none"/>
              </w:tabs>
              <w:spacing w:line="276" w:lineRule="auto" w:before="32" w:after="0"/>
              <w:ind w:left="405" w:right="659" w:hanging="360"/>
              <w:jc w:val="left"/>
              <w:rPr>
                <w:i/>
                <w:sz w:val="17"/>
              </w:rPr>
            </w:pPr>
            <w:r>
              <w:rPr>
                <w:i/>
                <w:sz w:val="17"/>
              </w:rPr>
              <w:t>“Believing and trusting power in First Nations’ hands is not a </w:t>
            </w:r>
            <w:r>
              <w:rPr>
                <w:i/>
                <w:sz w:val="17"/>
              </w:rPr>
              <w:t>threat”</w:t>
            </w:r>
          </w:p>
          <w:p>
            <w:pPr>
              <w:pStyle w:val="TableParagraph"/>
              <w:numPr>
                <w:ilvl w:val="0"/>
                <w:numId w:val="38"/>
              </w:numPr>
              <w:tabs>
                <w:tab w:pos="405" w:val="left" w:leader="none"/>
                <w:tab w:pos="406" w:val="left" w:leader="none"/>
              </w:tabs>
              <w:spacing w:line="276" w:lineRule="auto" w:before="3" w:after="0"/>
              <w:ind w:left="405" w:right="976" w:hanging="360"/>
              <w:jc w:val="left"/>
              <w:rPr>
                <w:i/>
                <w:sz w:val="17"/>
              </w:rPr>
            </w:pPr>
            <w:r>
              <w:rPr>
                <w:i/>
                <w:sz w:val="17"/>
              </w:rPr>
              <w:t>“Stop adopting outside saviour approaches with a lack of </w:t>
            </w:r>
            <w:r>
              <w:rPr>
                <w:i/>
                <w:sz w:val="17"/>
              </w:rPr>
              <w:t>community</w:t>
            </w:r>
            <w:r>
              <w:rPr>
                <w:i/>
                <w:spacing w:val="-4"/>
                <w:sz w:val="17"/>
              </w:rPr>
              <w:t> </w:t>
            </w:r>
            <w:r>
              <w:rPr>
                <w:i/>
                <w:sz w:val="17"/>
              </w:rPr>
              <w:t>collaboration”</w:t>
            </w:r>
          </w:p>
          <w:p>
            <w:pPr>
              <w:pStyle w:val="TableParagraph"/>
              <w:numPr>
                <w:ilvl w:val="0"/>
                <w:numId w:val="38"/>
              </w:numPr>
              <w:tabs>
                <w:tab w:pos="405" w:val="left" w:leader="none"/>
                <w:tab w:pos="406" w:val="left" w:leader="none"/>
              </w:tabs>
              <w:spacing w:line="240" w:lineRule="auto" w:before="2" w:after="0"/>
              <w:ind w:left="405" w:right="0" w:hanging="361"/>
              <w:jc w:val="left"/>
              <w:rPr>
                <w:i/>
                <w:sz w:val="17"/>
              </w:rPr>
            </w:pPr>
            <w:r>
              <w:rPr>
                <w:i/>
                <w:sz w:val="17"/>
              </w:rPr>
              <w:t>“Stop thinking Government has the answers</w:t>
            </w:r>
            <w:r>
              <w:rPr>
                <w:i/>
                <w:spacing w:val="-6"/>
                <w:sz w:val="17"/>
              </w:rPr>
              <w:t> </w:t>
            </w:r>
            <w:r>
              <w:rPr>
                <w:i/>
                <w:sz w:val="17"/>
              </w:rPr>
              <w:t>alone”</w:t>
            </w:r>
          </w:p>
          <w:p>
            <w:pPr>
              <w:pStyle w:val="TableParagraph"/>
              <w:numPr>
                <w:ilvl w:val="0"/>
                <w:numId w:val="38"/>
              </w:numPr>
              <w:tabs>
                <w:tab w:pos="405" w:val="left" w:leader="none"/>
                <w:tab w:pos="406" w:val="left" w:leader="none"/>
              </w:tabs>
              <w:spacing w:line="240" w:lineRule="auto" w:before="33" w:after="0"/>
              <w:ind w:left="405" w:right="0" w:hanging="361"/>
              <w:jc w:val="left"/>
              <w:rPr>
                <w:i/>
                <w:sz w:val="17"/>
              </w:rPr>
            </w:pPr>
            <w:r>
              <w:rPr>
                <w:i/>
                <w:sz w:val="17"/>
              </w:rPr>
              <w:t>“Asking and not</w:t>
            </w:r>
            <w:r>
              <w:rPr>
                <w:i/>
                <w:spacing w:val="-6"/>
                <w:sz w:val="17"/>
              </w:rPr>
              <w:t> </w:t>
            </w:r>
            <w:r>
              <w:rPr>
                <w:i/>
                <w:sz w:val="17"/>
              </w:rPr>
              <w:t>assume”</w:t>
            </w:r>
          </w:p>
        </w:tc>
      </w:tr>
      <w:tr>
        <w:trPr>
          <w:trHeight w:val="1722" w:hRule="atLeast"/>
        </w:trPr>
        <w:tc>
          <w:tcPr>
            <w:tcW w:w="2782" w:type="dxa"/>
            <w:tcBorders>
              <w:top w:val="single" w:sz="4" w:space="0" w:color="000000"/>
              <w:bottom w:val="single" w:sz="4" w:space="0" w:color="000000"/>
            </w:tcBorders>
          </w:tcPr>
          <w:p>
            <w:pPr>
              <w:pStyle w:val="TableParagraph"/>
              <w:spacing w:line="278" w:lineRule="auto" w:before="90"/>
              <w:ind w:left="431" w:right="70" w:hanging="360"/>
              <w:rPr>
                <w:sz w:val="17"/>
              </w:rPr>
            </w:pPr>
            <w:r>
              <w:rPr>
                <w:sz w:val="17"/>
              </w:rPr>
              <w:t>2. Empower parents, families and communities to have self-determination</w:t>
            </w:r>
          </w:p>
        </w:tc>
        <w:tc>
          <w:tcPr>
            <w:tcW w:w="6260" w:type="dxa"/>
            <w:tcBorders>
              <w:top w:val="single" w:sz="4" w:space="0" w:color="000000"/>
              <w:bottom w:val="single" w:sz="4" w:space="0" w:color="000000"/>
            </w:tcBorders>
          </w:tcPr>
          <w:p>
            <w:pPr>
              <w:pStyle w:val="TableParagraph"/>
              <w:numPr>
                <w:ilvl w:val="0"/>
                <w:numId w:val="39"/>
              </w:numPr>
              <w:tabs>
                <w:tab w:pos="405" w:val="left" w:leader="none"/>
                <w:tab w:pos="406" w:val="left" w:leader="none"/>
              </w:tabs>
              <w:spacing w:line="240" w:lineRule="auto" w:before="90" w:after="0"/>
              <w:ind w:left="405" w:right="0" w:hanging="361"/>
              <w:jc w:val="left"/>
              <w:rPr>
                <w:i/>
                <w:sz w:val="17"/>
              </w:rPr>
            </w:pPr>
            <w:r>
              <w:rPr>
                <w:i/>
                <w:sz w:val="17"/>
              </w:rPr>
              <w:t>“Listening and act on community</w:t>
            </w:r>
            <w:r>
              <w:rPr>
                <w:i/>
                <w:spacing w:val="-5"/>
                <w:sz w:val="17"/>
              </w:rPr>
              <w:t> </w:t>
            </w:r>
            <w:r>
              <w:rPr>
                <w:i/>
                <w:sz w:val="17"/>
              </w:rPr>
              <w:t>solutions”</w:t>
            </w:r>
          </w:p>
          <w:p>
            <w:pPr>
              <w:pStyle w:val="TableParagraph"/>
              <w:numPr>
                <w:ilvl w:val="0"/>
                <w:numId w:val="39"/>
              </w:numPr>
              <w:tabs>
                <w:tab w:pos="405" w:val="left" w:leader="none"/>
                <w:tab w:pos="406" w:val="left" w:leader="none"/>
              </w:tabs>
              <w:spacing w:line="240" w:lineRule="auto" w:before="32" w:after="0"/>
              <w:ind w:left="405" w:right="0" w:hanging="361"/>
              <w:jc w:val="left"/>
              <w:rPr>
                <w:i/>
                <w:sz w:val="17"/>
              </w:rPr>
            </w:pPr>
            <w:r>
              <w:rPr>
                <w:i/>
                <w:sz w:val="17"/>
              </w:rPr>
              <w:t>“Trusting and empowering communities and families to</w:t>
            </w:r>
            <w:r>
              <w:rPr>
                <w:i/>
                <w:spacing w:val="-12"/>
                <w:sz w:val="17"/>
              </w:rPr>
              <w:t> </w:t>
            </w:r>
            <w:r>
              <w:rPr>
                <w:i/>
                <w:sz w:val="17"/>
              </w:rPr>
              <w:t>make</w:t>
            </w:r>
          </w:p>
          <w:p>
            <w:pPr>
              <w:pStyle w:val="TableParagraph"/>
              <w:spacing w:before="32"/>
              <w:ind w:left="405"/>
              <w:rPr>
                <w:i/>
                <w:sz w:val="17"/>
              </w:rPr>
            </w:pPr>
            <w:r>
              <w:rPr>
                <w:i/>
                <w:sz w:val="17"/>
              </w:rPr>
              <w:t>decisions for their children and young people”</w:t>
            </w:r>
          </w:p>
          <w:p>
            <w:pPr>
              <w:pStyle w:val="TableParagraph"/>
              <w:numPr>
                <w:ilvl w:val="0"/>
                <w:numId w:val="39"/>
              </w:numPr>
              <w:tabs>
                <w:tab w:pos="405" w:val="left" w:leader="none"/>
                <w:tab w:pos="406" w:val="left" w:leader="none"/>
              </w:tabs>
              <w:spacing w:line="276" w:lineRule="auto" w:before="33" w:after="0"/>
              <w:ind w:left="405" w:right="571" w:hanging="360"/>
              <w:jc w:val="left"/>
              <w:rPr>
                <w:i/>
                <w:sz w:val="17"/>
              </w:rPr>
            </w:pPr>
            <w:r>
              <w:rPr>
                <w:i/>
                <w:sz w:val="17"/>
              </w:rPr>
              <w:t>“Seeking the perspectives of children, young people and their </w:t>
            </w:r>
            <w:r>
              <w:rPr>
                <w:i/>
                <w:sz w:val="17"/>
              </w:rPr>
              <w:t>families”</w:t>
            </w:r>
          </w:p>
          <w:p>
            <w:pPr>
              <w:pStyle w:val="TableParagraph"/>
              <w:numPr>
                <w:ilvl w:val="0"/>
                <w:numId w:val="39"/>
              </w:numPr>
              <w:tabs>
                <w:tab w:pos="405" w:val="left" w:leader="none"/>
                <w:tab w:pos="406" w:val="left" w:leader="none"/>
              </w:tabs>
              <w:spacing w:line="240" w:lineRule="auto" w:before="3" w:after="0"/>
              <w:ind w:left="405" w:right="0" w:hanging="361"/>
              <w:jc w:val="left"/>
              <w:rPr>
                <w:i/>
                <w:sz w:val="17"/>
              </w:rPr>
            </w:pPr>
            <w:r>
              <w:rPr>
                <w:i/>
                <w:sz w:val="17"/>
              </w:rPr>
              <w:t>“Putting children and families</w:t>
            </w:r>
            <w:r>
              <w:rPr>
                <w:i/>
                <w:spacing w:val="-1"/>
                <w:sz w:val="17"/>
              </w:rPr>
              <w:t> </w:t>
            </w:r>
            <w:r>
              <w:rPr>
                <w:i/>
                <w:sz w:val="17"/>
              </w:rPr>
              <w:t>first”</w:t>
            </w:r>
          </w:p>
        </w:tc>
      </w:tr>
      <w:tr>
        <w:trPr>
          <w:trHeight w:val="1485" w:hRule="atLeast"/>
        </w:trPr>
        <w:tc>
          <w:tcPr>
            <w:tcW w:w="2782" w:type="dxa"/>
            <w:tcBorders>
              <w:top w:val="single" w:sz="4" w:space="0" w:color="000000"/>
              <w:bottom w:val="single" w:sz="4" w:space="0" w:color="000000"/>
            </w:tcBorders>
          </w:tcPr>
          <w:p>
            <w:pPr>
              <w:pStyle w:val="TableParagraph"/>
              <w:spacing w:line="278" w:lineRule="auto" w:before="90"/>
              <w:ind w:left="431" w:right="26" w:hanging="360"/>
              <w:rPr>
                <w:sz w:val="17"/>
              </w:rPr>
            </w:pPr>
            <w:r>
              <w:rPr>
                <w:sz w:val="17"/>
              </w:rPr>
              <w:t>3. Elevate Indigenous voice, leadership and governance</w:t>
            </w:r>
          </w:p>
        </w:tc>
        <w:tc>
          <w:tcPr>
            <w:tcW w:w="6260" w:type="dxa"/>
            <w:tcBorders>
              <w:top w:val="single" w:sz="4" w:space="0" w:color="000000"/>
              <w:bottom w:val="single" w:sz="4" w:space="0" w:color="000000"/>
            </w:tcBorders>
          </w:tcPr>
          <w:p>
            <w:pPr>
              <w:pStyle w:val="TableParagraph"/>
              <w:numPr>
                <w:ilvl w:val="0"/>
                <w:numId w:val="40"/>
              </w:numPr>
              <w:tabs>
                <w:tab w:pos="405" w:val="left" w:leader="none"/>
                <w:tab w:pos="406" w:val="left" w:leader="none"/>
              </w:tabs>
              <w:spacing w:line="240" w:lineRule="auto" w:before="90" w:after="0"/>
              <w:ind w:left="405" w:right="0" w:hanging="361"/>
              <w:jc w:val="left"/>
              <w:rPr>
                <w:i/>
                <w:sz w:val="17"/>
              </w:rPr>
            </w:pPr>
            <w:r>
              <w:rPr>
                <w:i/>
                <w:sz w:val="17"/>
              </w:rPr>
              <w:t>“Valuing Aboriginal and Torres Strait Islander</w:t>
            </w:r>
            <w:r>
              <w:rPr>
                <w:i/>
                <w:spacing w:val="-11"/>
                <w:sz w:val="17"/>
              </w:rPr>
              <w:t> </w:t>
            </w:r>
            <w:r>
              <w:rPr>
                <w:i/>
                <w:sz w:val="17"/>
              </w:rPr>
              <w:t>leadership”</w:t>
            </w:r>
          </w:p>
          <w:p>
            <w:pPr>
              <w:pStyle w:val="TableParagraph"/>
              <w:numPr>
                <w:ilvl w:val="0"/>
                <w:numId w:val="40"/>
              </w:numPr>
              <w:tabs>
                <w:tab w:pos="405" w:val="left" w:leader="none"/>
                <w:tab w:pos="406" w:val="left" w:leader="none"/>
              </w:tabs>
              <w:spacing w:line="240" w:lineRule="auto" w:before="32" w:after="0"/>
              <w:ind w:left="405" w:right="0" w:hanging="361"/>
              <w:jc w:val="left"/>
              <w:rPr>
                <w:i/>
                <w:sz w:val="17"/>
              </w:rPr>
            </w:pPr>
            <w:r>
              <w:rPr>
                <w:i/>
                <w:sz w:val="17"/>
              </w:rPr>
              <w:t>“Enabling Indigenous leadership and</w:t>
            </w:r>
            <w:r>
              <w:rPr>
                <w:i/>
                <w:spacing w:val="-6"/>
                <w:sz w:val="17"/>
              </w:rPr>
              <w:t> </w:t>
            </w:r>
            <w:r>
              <w:rPr>
                <w:i/>
                <w:sz w:val="17"/>
              </w:rPr>
              <w:t>governance”</w:t>
            </w:r>
          </w:p>
          <w:p>
            <w:pPr>
              <w:pStyle w:val="TableParagraph"/>
              <w:numPr>
                <w:ilvl w:val="0"/>
                <w:numId w:val="40"/>
              </w:numPr>
              <w:tabs>
                <w:tab w:pos="405" w:val="left" w:leader="none"/>
                <w:tab w:pos="406" w:val="left" w:leader="none"/>
              </w:tabs>
              <w:spacing w:line="240" w:lineRule="auto" w:before="32" w:after="0"/>
              <w:ind w:left="405" w:right="0" w:hanging="361"/>
              <w:jc w:val="left"/>
              <w:rPr>
                <w:i/>
                <w:sz w:val="17"/>
              </w:rPr>
            </w:pPr>
            <w:r>
              <w:rPr>
                <w:i/>
                <w:sz w:val="17"/>
              </w:rPr>
              <w:t>“Continuing to give Aboriginal and Torres Strait Islander people</w:t>
            </w:r>
            <w:r>
              <w:rPr>
                <w:i/>
                <w:spacing w:val="-17"/>
                <w:sz w:val="17"/>
              </w:rPr>
              <w:t> </w:t>
            </w:r>
            <w:r>
              <w:rPr>
                <w:i/>
                <w:sz w:val="17"/>
              </w:rPr>
              <w:t>a</w:t>
            </w:r>
          </w:p>
          <w:p>
            <w:pPr>
              <w:pStyle w:val="TableParagraph"/>
              <w:spacing w:before="31"/>
              <w:ind w:left="405"/>
              <w:rPr>
                <w:i/>
                <w:sz w:val="17"/>
              </w:rPr>
            </w:pPr>
            <w:r>
              <w:rPr>
                <w:i/>
                <w:sz w:val="17"/>
              </w:rPr>
              <w:t>voice”</w:t>
            </w:r>
          </w:p>
          <w:p>
            <w:pPr>
              <w:pStyle w:val="TableParagraph"/>
              <w:numPr>
                <w:ilvl w:val="0"/>
                <w:numId w:val="40"/>
              </w:numPr>
              <w:tabs>
                <w:tab w:pos="405" w:val="left" w:leader="none"/>
                <w:tab w:pos="406" w:val="left" w:leader="none"/>
              </w:tabs>
              <w:spacing w:line="240" w:lineRule="auto" w:before="34" w:after="0"/>
              <w:ind w:left="405" w:right="0" w:hanging="361"/>
              <w:jc w:val="left"/>
              <w:rPr>
                <w:i/>
                <w:sz w:val="17"/>
              </w:rPr>
            </w:pPr>
            <w:r>
              <w:rPr>
                <w:i/>
                <w:sz w:val="17"/>
              </w:rPr>
              <w:t>“Looking to our cultural</w:t>
            </w:r>
            <w:r>
              <w:rPr>
                <w:i/>
                <w:spacing w:val="-4"/>
                <w:sz w:val="17"/>
              </w:rPr>
              <w:t> </w:t>
            </w:r>
            <w:r>
              <w:rPr>
                <w:i/>
                <w:sz w:val="17"/>
              </w:rPr>
              <w:t>leaders”</w:t>
            </w:r>
          </w:p>
        </w:tc>
      </w:tr>
    </w:tbl>
    <w:p>
      <w:pPr>
        <w:spacing w:after="0" w:line="240" w:lineRule="auto"/>
        <w:jc w:val="left"/>
        <w:rPr>
          <w:sz w:val="17"/>
        </w:rPr>
        <w:sectPr>
          <w:pgSz w:w="11910" w:h="16840"/>
          <w:pgMar w:header="650" w:footer="420" w:top="1340" w:bottom="620" w:left="1140" w:right="700"/>
        </w:sectPr>
      </w:pPr>
    </w:p>
    <w:p>
      <w:pPr>
        <w:pStyle w:val="BodyText"/>
        <w:spacing w:before="2"/>
        <w:rPr>
          <w:sz w:val="7"/>
        </w:rPr>
      </w:pPr>
      <w:r>
        <w:rPr/>
        <w:pict>
          <v:group style="position:absolute;margin-left:72.024002pt;margin-top:481.149963pt;width:451.4pt;height:27.25pt;mso-position-horizontal-relative:page;mso-position-vertical-relative:page;z-index:-258131968" coordorigin="1440,9623" coordsize="9028,545">
            <v:shape style="position:absolute;left:1440;top:9632;width:8923;height:526" coordorigin="1440,9633" coordsize="8923,526" path="m10363,9633l1440,9633,1440,9690,1440,10101,1440,10158,10363,10158,10363,10101,10363,9690,10363,9633e" filled="true" fillcolor="#dfeff8" stroked="false">
              <v:path arrowok="t"/>
              <v:fill type="solid"/>
            </v:shape>
            <v:line style="position:absolute" from="1440,9628" to="4254,9628" stroked="true" strokeweight=".48001pt" strokecolor="#000000">
              <v:stroke dashstyle="solid"/>
            </v:line>
            <v:line style="position:absolute" from="1440,9661" to="4254,9661" stroked="true" strokeweight="2.88pt" strokecolor="#dfeff8">
              <v:stroke dashstyle="solid"/>
            </v:line>
            <v:rect style="position:absolute;left:4253;top:9632;width:10;height:58" filled="true" fillcolor="#dfeff8" stroked="false">
              <v:fill type="solid"/>
            </v:rect>
            <v:rect style="position:absolute;left:4253;top:9623;width:10;height:10" filled="true" fillcolor="#000000" stroked="false">
              <v:fill type="solid"/>
            </v:rect>
            <v:line style="position:absolute" from="4263,9628" to="10363,9628" stroked="true" strokeweight=".48001pt" strokecolor="#000000">
              <v:stroke dashstyle="solid"/>
            </v:line>
            <v:line style="position:absolute" from="4263,9661" to="10363,9661" stroked="true" strokeweight="2.88pt" strokecolor="#dfeff8">
              <v:stroke dashstyle="solid"/>
            </v:line>
            <v:shape style="position:absolute;left:10362;top:9623;width:106;height:10" coordorigin="10363,9623" coordsize="106,10" path="m10377,9623l10372,9623,10363,9623,10363,9633,10372,9633,10377,9633,10377,9623m10387,9623l10377,9623,10377,9633,10387,9633,10387,9623m10468,9623l10387,9623,10387,9633,10468,9633,10468,9623e" filled="true" fillcolor="#000000" stroked="false">
              <v:path arrowok="t"/>
              <v:fill type="solid"/>
            </v:shape>
            <v:rect style="position:absolute;left:1440;top:10100;width:8923;height:58" filled="true" fillcolor="#dfeff8" stroked="false">
              <v:fill type="solid"/>
            </v:rect>
            <v:line style="position:absolute" from="1440,10163" to="4254,10163" stroked="true" strokeweight=".47998pt" strokecolor="#000000">
              <v:stroke dashstyle="solid"/>
            </v:line>
            <v:rect style="position:absolute;left:4253;top:10158;width:10;height:10" filled="true" fillcolor="#000000" stroked="false">
              <v:fill type="solid"/>
            </v:rect>
            <v:line style="position:absolute" from="4263,10163" to="10363,10163" stroked="true" strokeweight=".47998pt" strokecolor="#000000">
              <v:stroke dashstyle="solid"/>
            </v:line>
            <v:shape style="position:absolute;left:10362;top:10158;width:106;height:10" coordorigin="10363,10158" coordsize="106,10" path="m10377,10158l10372,10158,10363,10158,10363,10168,10372,10168,10377,10168,10377,10158m10387,10158l10377,10158,10377,10168,10387,10168,10387,10158m10468,10158l10387,10158,10387,10168,10468,10168,10468,10158e" filled="true" fillcolor="#000000" stroked="false">
              <v:path arrowok="t"/>
              <v:fill type="solid"/>
            </v:shape>
            <w10:wrap type="none"/>
          </v:group>
        </w:pict>
      </w:r>
    </w:p>
    <w:tbl>
      <w:tblPr>
        <w:tblW w:w="0" w:type="auto"/>
        <w:jc w:val="left"/>
        <w:tblInd w:w="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9"/>
        <w:gridCol w:w="6280"/>
      </w:tblGrid>
      <w:tr>
        <w:trPr>
          <w:trHeight w:val="525" w:hRule="atLeast"/>
        </w:trPr>
        <w:tc>
          <w:tcPr>
            <w:tcW w:w="9039" w:type="dxa"/>
            <w:gridSpan w:val="2"/>
            <w:tcBorders>
              <w:top w:val="single" w:sz="4" w:space="0" w:color="61B5E4"/>
              <w:bottom w:val="single" w:sz="4" w:space="0" w:color="000000"/>
            </w:tcBorders>
            <w:shd w:val="clear" w:color="auto" w:fill="DFEFF8"/>
          </w:tcPr>
          <w:p>
            <w:pPr>
              <w:pStyle w:val="TableParagraph"/>
              <w:spacing w:before="91"/>
              <w:ind w:left="11"/>
              <w:rPr>
                <w:b/>
                <w:sz w:val="17"/>
              </w:rPr>
            </w:pPr>
            <w:r>
              <w:rPr>
                <w:b/>
                <w:sz w:val="17"/>
              </w:rPr>
              <w:t>Theme 2: Sustainably develop the community-controlled sector</w:t>
            </w:r>
          </w:p>
        </w:tc>
      </w:tr>
      <w:tr>
        <w:trPr>
          <w:trHeight w:val="832" w:hRule="atLeast"/>
        </w:trPr>
        <w:tc>
          <w:tcPr>
            <w:tcW w:w="2759" w:type="dxa"/>
            <w:tcBorders>
              <w:top w:val="single" w:sz="4" w:space="0" w:color="000000"/>
              <w:bottom w:val="single" w:sz="4" w:space="0" w:color="000000"/>
            </w:tcBorders>
          </w:tcPr>
          <w:p>
            <w:pPr>
              <w:pStyle w:val="TableParagraph"/>
              <w:spacing w:line="278" w:lineRule="auto" w:before="88"/>
              <w:ind w:left="429" w:right="347" w:hanging="360"/>
              <w:rPr>
                <w:sz w:val="17"/>
              </w:rPr>
            </w:pPr>
            <w:r>
              <w:rPr>
                <w:sz w:val="17"/>
              </w:rPr>
              <w:t>4. Shift and balance investment to the community and ACCOs</w:t>
            </w:r>
          </w:p>
        </w:tc>
        <w:tc>
          <w:tcPr>
            <w:tcW w:w="6280" w:type="dxa"/>
            <w:tcBorders>
              <w:top w:val="single" w:sz="4" w:space="0" w:color="000000"/>
              <w:bottom w:val="single" w:sz="4" w:space="0" w:color="000000"/>
            </w:tcBorders>
          </w:tcPr>
          <w:p>
            <w:pPr>
              <w:pStyle w:val="TableParagraph"/>
              <w:numPr>
                <w:ilvl w:val="0"/>
                <w:numId w:val="41"/>
              </w:numPr>
              <w:tabs>
                <w:tab w:pos="425" w:val="left" w:leader="none"/>
                <w:tab w:pos="427" w:val="left" w:leader="none"/>
              </w:tabs>
              <w:spacing w:line="240" w:lineRule="auto" w:before="88" w:after="0"/>
              <w:ind w:left="426" w:right="0" w:hanging="361"/>
              <w:jc w:val="left"/>
              <w:rPr>
                <w:i/>
                <w:sz w:val="17"/>
              </w:rPr>
            </w:pPr>
            <w:r>
              <w:rPr>
                <w:i/>
                <w:sz w:val="17"/>
              </w:rPr>
              <w:t>“Resourcing community-controlled</w:t>
            </w:r>
            <w:r>
              <w:rPr>
                <w:i/>
                <w:spacing w:val="-2"/>
                <w:sz w:val="17"/>
              </w:rPr>
              <w:t> </w:t>
            </w:r>
            <w:r>
              <w:rPr>
                <w:i/>
                <w:sz w:val="17"/>
              </w:rPr>
              <w:t>organisations”</w:t>
            </w:r>
          </w:p>
        </w:tc>
      </w:tr>
      <w:tr>
        <w:trPr>
          <w:trHeight w:val="765" w:hRule="atLeast"/>
        </w:trPr>
        <w:tc>
          <w:tcPr>
            <w:tcW w:w="2759" w:type="dxa"/>
            <w:tcBorders>
              <w:top w:val="single" w:sz="4" w:space="0" w:color="000000"/>
              <w:bottom w:val="single" w:sz="4" w:space="0" w:color="000000"/>
            </w:tcBorders>
          </w:tcPr>
          <w:p>
            <w:pPr>
              <w:pStyle w:val="TableParagraph"/>
              <w:spacing w:line="278" w:lineRule="auto" w:before="90"/>
              <w:ind w:left="429" w:right="264" w:hanging="360"/>
              <w:rPr>
                <w:sz w:val="17"/>
              </w:rPr>
            </w:pPr>
            <w:r>
              <w:rPr>
                <w:sz w:val="17"/>
              </w:rPr>
              <w:t>5. Strengthen the capacity and capability of ACCOs</w:t>
            </w:r>
          </w:p>
        </w:tc>
        <w:tc>
          <w:tcPr>
            <w:tcW w:w="6280" w:type="dxa"/>
            <w:tcBorders>
              <w:top w:val="single" w:sz="4" w:space="0" w:color="000000"/>
              <w:bottom w:val="single" w:sz="4" w:space="0" w:color="000000"/>
            </w:tcBorders>
          </w:tcPr>
          <w:p>
            <w:pPr>
              <w:pStyle w:val="TableParagraph"/>
              <w:numPr>
                <w:ilvl w:val="0"/>
                <w:numId w:val="42"/>
              </w:numPr>
              <w:tabs>
                <w:tab w:pos="425" w:val="left" w:leader="none"/>
                <w:tab w:pos="427" w:val="left" w:leader="none"/>
              </w:tabs>
              <w:spacing w:line="240" w:lineRule="auto" w:before="90" w:after="0"/>
              <w:ind w:left="426" w:right="0" w:hanging="361"/>
              <w:jc w:val="left"/>
              <w:rPr>
                <w:i/>
                <w:sz w:val="17"/>
              </w:rPr>
            </w:pPr>
            <w:r>
              <w:rPr>
                <w:i/>
                <w:sz w:val="17"/>
              </w:rPr>
              <w:t>“Long term investment strategy and</w:t>
            </w:r>
            <w:r>
              <w:rPr>
                <w:i/>
                <w:spacing w:val="-5"/>
                <w:sz w:val="17"/>
              </w:rPr>
              <w:t> </w:t>
            </w:r>
            <w:r>
              <w:rPr>
                <w:i/>
                <w:sz w:val="17"/>
              </w:rPr>
              <w:t>commitments”</w:t>
            </w:r>
          </w:p>
          <w:p>
            <w:pPr>
              <w:pStyle w:val="TableParagraph"/>
              <w:numPr>
                <w:ilvl w:val="0"/>
                <w:numId w:val="42"/>
              </w:numPr>
              <w:tabs>
                <w:tab w:pos="425" w:val="left" w:leader="none"/>
                <w:tab w:pos="427" w:val="left" w:leader="none"/>
              </w:tabs>
              <w:spacing w:line="240" w:lineRule="auto" w:before="32" w:after="0"/>
              <w:ind w:left="426" w:right="0" w:hanging="361"/>
              <w:jc w:val="left"/>
              <w:rPr>
                <w:i/>
                <w:sz w:val="17"/>
              </w:rPr>
            </w:pPr>
            <w:r>
              <w:rPr>
                <w:i/>
                <w:sz w:val="17"/>
              </w:rPr>
              <w:t>“Investing in our</w:t>
            </w:r>
            <w:r>
              <w:rPr>
                <w:i/>
                <w:spacing w:val="-4"/>
                <w:sz w:val="17"/>
              </w:rPr>
              <w:t> </w:t>
            </w:r>
            <w:r>
              <w:rPr>
                <w:i/>
                <w:sz w:val="17"/>
              </w:rPr>
              <w:t>partnerships”</w:t>
            </w:r>
          </w:p>
        </w:tc>
      </w:tr>
      <w:tr>
        <w:trPr>
          <w:trHeight w:val="522" w:hRule="atLeast"/>
        </w:trPr>
        <w:tc>
          <w:tcPr>
            <w:tcW w:w="9039" w:type="dxa"/>
            <w:gridSpan w:val="2"/>
            <w:tcBorders>
              <w:top w:val="single" w:sz="4" w:space="0" w:color="000000"/>
              <w:bottom w:val="single" w:sz="4" w:space="0" w:color="000000"/>
            </w:tcBorders>
            <w:shd w:val="clear" w:color="auto" w:fill="DFEFF8"/>
          </w:tcPr>
          <w:p>
            <w:pPr>
              <w:pStyle w:val="TableParagraph"/>
              <w:spacing w:before="90"/>
              <w:ind w:left="11"/>
              <w:rPr>
                <w:b/>
                <w:sz w:val="17"/>
              </w:rPr>
            </w:pPr>
            <w:r>
              <w:rPr>
                <w:b/>
                <w:sz w:val="17"/>
              </w:rPr>
              <w:t>Theme 3: Re-orient government mechanisms</w:t>
            </w:r>
          </w:p>
        </w:tc>
      </w:tr>
      <w:tr>
        <w:trPr>
          <w:trHeight w:val="1245" w:hRule="atLeast"/>
        </w:trPr>
        <w:tc>
          <w:tcPr>
            <w:tcW w:w="2759" w:type="dxa"/>
            <w:tcBorders>
              <w:top w:val="single" w:sz="4" w:space="0" w:color="000000"/>
              <w:bottom w:val="single" w:sz="4" w:space="0" w:color="000000"/>
            </w:tcBorders>
          </w:tcPr>
          <w:p>
            <w:pPr>
              <w:pStyle w:val="TableParagraph"/>
              <w:spacing w:line="278" w:lineRule="auto" w:before="90"/>
              <w:ind w:left="429" w:hanging="360"/>
              <w:rPr>
                <w:sz w:val="17"/>
              </w:rPr>
            </w:pPr>
            <w:r>
              <w:rPr>
                <w:sz w:val="17"/>
              </w:rPr>
              <w:t>6. Shared responsibility and accountability</w:t>
            </w:r>
          </w:p>
        </w:tc>
        <w:tc>
          <w:tcPr>
            <w:tcW w:w="6280" w:type="dxa"/>
            <w:tcBorders>
              <w:top w:val="single" w:sz="4" w:space="0" w:color="000000"/>
              <w:bottom w:val="single" w:sz="4" w:space="0" w:color="000000"/>
            </w:tcBorders>
          </w:tcPr>
          <w:p>
            <w:pPr>
              <w:pStyle w:val="TableParagraph"/>
              <w:numPr>
                <w:ilvl w:val="0"/>
                <w:numId w:val="43"/>
              </w:numPr>
              <w:tabs>
                <w:tab w:pos="425" w:val="left" w:leader="none"/>
                <w:tab w:pos="427" w:val="left" w:leader="none"/>
              </w:tabs>
              <w:spacing w:line="240" w:lineRule="auto" w:before="90" w:after="0"/>
              <w:ind w:left="426" w:right="0" w:hanging="361"/>
              <w:jc w:val="left"/>
              <w:rPr>
                <w:i/>
                <w:sz w:val="17"/>
              </w:rPr>
            </w:pPr>
            <w:r>
              <w:rPr>
                <w:i/>
                <w:sz w:val="17"/>
              </w:rPr>
              <w:t>“Shared accountability framework with</w:t>
            </w:r>
            <w:r>
              <w:rPr>
                <w:i/>
                <w:spacing w:val="-1"/>
                <w:sz w:val="17"/>
              </w:rPr>
              <w:t> </w:t>
            </w:r>
            <w:r>
              <w:rPr>
                <w:i/>
                <w:sz w:val="17"/>
              </w:rPr>
              <w:t>KPIs”</w:t>
            </w:r>
          </w:p>
          <w:p>
            <w:pPr>
              <w:pStyle w:val="TableParagraph"/>
              <w:numPr>
                <w:ilvl w:val="0"/>
                <w:numId w:val="43"/>
              </w:numPr>
              <w:tabs>
                <w:tab w:pos="425" w:val="left" w:leader="none"/>
                <w:tab w:pos="427" w:val="left" w:leader="none"/>
              </w:tabs>
              <w:spacing w:line="278" w:lineRule="auto" w:before="32" w:after="0"/>
              <w:ind w:left="426" w:right="113" w:hanging="360"/>
              <w:jc w:val="left"/>
              <w:rPr>
                <w:i/>
                <w:sz w:val="17"/>
              </w:rPr>
            </w:pPr>
            <w:r>
              <w:rPr>
                <w:i/>
                <w:sz w:val="17"/>
              </w:rPr>
              <w:t>“Ensuring that the change is the responsibility of everyone and not </w:t>
            </w:r>
            <w:r>
              <w:rPr>
                <w:i/>
                <w:sz w:val="17"/>
              </w:rPr>
              <w:t>just a select few”</w:t>
            </w:r>
          </w:p>
          <w:p>
            <w:pPr>
              <w:pStyle w:val="TableParagraph"/>
              <w:numPr>
                <w:ilvl w:val="0"/>
                <w:numId w:val="43"/>
              </w:numPr>
              <w:tabs>
                <w:tab w:pos="425" w:val="left" w:leader="none"/>
                <w:tab w:pos="427" w:val="left" w:leader="none"/>
              </w:tabs>
              <w:spacing w:line="208" w:lineRule="exact" w:before="0" w:after="0"/>
              <w:ind w:left="426" w:right="0" w:hanging="361"/>
              <w:jc w:val="left"/>
              <w:rPr>
                <w:i/>
                <w:sz w:val="17"/>
              </w:rPr>
            </w:pPr>
            <w:r>
              <w:rPr>
                <w:i/>
                <w:sz w:val="17"/>
              </w:rPr>
              <w:t>“Increasing accountability and develop mechanisms to ensure</w:t>
            </w:r>
            <w:r>
              <w:rPr>
                <w:i/>
                <w:spacing w:val="-16"/>
                <w:sz w:val="17"/>
              </w:rPr>
              <w:t> </w:t>
            </w:r>
            <w:r>
              <w:rPr>
                <w:i/>
                <w:sz w:val="17"/>
              </w:rPr>
              <w:t>this”</w:t>
            </w:r>
          </w:p>
        </w:tc>
      </w:tr>
      <w:tr>
        <w:trPr>
          <w:trHeight w:val="1242" w:hRule="atLeast"/>
        </w:trPr>
        <w:tc>
          <w:tcPr>
            <w:tcW w:w="2759" w:type="dxa"/>
            <w:tcBorders>
              <w:top w:val="single" w:sz="4" w:space="0" w:color="000000"/>
              <w:bottom w:val="single" w:sz="4" w:space="0" w:color="000000"/>
            </w:tcBorders>
          </w:tcPr>
          <w:p>
            <w:pPr>
              <w:pStyle w:val="TableParagraph"/>
              <w:spacing w:line="278" w:lineRule="auto" w:before="90"/>
              <w:ind w:left="429" w:right="347" w:hanging="360"/>
              <w:rPr>
                <w:sz w:val="17"/>
              </w:rPr>
            </w:pPr>
            <w:r>
              <w:rPr>
                <w:sz w:val="17"/>
              </w:rPr>
              <w:t>7. Address trauma and enable healing</w:t>
            </w:r>
          </w:p>
        </w:tc>
        <w:tc>
          <w:tcPr>
            <w:tcW w:w="6280" w:type="dxa"/>
            <w:tcBorders>
              <w:top w:val="single" w:sz="4" w:space="0" w:color="000000"/>
              <w:bottom w:val="single" w:sz="4" w:space="0" w:color="000000"/>
            </w:tcBorders>
          </w:tcPr>
          <w:p>
            <w:pPr>
              <w:pStyle w:val="TableParagraph"/>
              <w:numPr>
                <w:ilvl w:val="0"/>
                <w:numId w:val="44"/>
              </w:numPr>
              <w:tabs>
                <w:tab w:pos="425" w:val="left" w:leader="none"/>
                <w:tab w:pos="427" w:val="left" w:leader="none"/>
              </w:tabs>
              <w:spacing w:line="240" w:lineRule="auto" w:before="90" w:after="0"/>
              <w:ind w:left="426" w:right="0" w:hanging="361"/>
              <w:jc w:val="left"/>
              <w:rPr>
                <w:i/>
                <w:sz w:val="17"/>
              </w:rPr>
            </w:pPr>
            <w:r>
              <w:rPr>
                <w:i/>
                <w:sz w:val="17"/>
              </w:rPr>
              <w:t>“Focusing on truth and</w:t>
            </w:r>
            <w:r>
              <w:rPr>
                <w:i/>
                <w:spacing w:val="-3"/>
                <w:sz w:val="17"/>
              </w:rPr>
              <w:t> </w:t>
            </w:r>
            <w:r>
              <w:rPr>
                <w:i/>
                <w:sz w:val="17"/>
              </w:rPr>
              <w:t>healing”</w:t>
            </w:r>
          </w:p>
          <w:p>
            <w:pPr>
              <w:pStyle w:val="TableParagraph"/>
              <w:numPr>
                <w:ilvl w:val="0"/>
                <w:numId w:val="44"/>
              </w:numPr>
              <w:tabs>
                <w:tab w:pos="425" w:val="left" w:leader="none"/>
                <w:tab w:pos="427" w:val="left" w:leader="none"/>
              </w:tabs>
              <w:spacing w:line="240" w:lineRule="auto" w:before="32" w:after="0"/>
              <w:ind w:left="426" w:right="0" w:hanging="361"/>
              <w:jc w:val="left"/>
              <w:rPr>
                <w:i/>
                <w:sz w:val="17"/>
              </w:rPr>
            </w:pPr>
            <w:r>
              <w:rPr>
                <w:i/>
                <w:sz w:val="17"/>
              </w:rPr>
              <w:t>“Not accepting the status</w:t>
            </w:r>
            <w:r>
              <w:rPr>
                <w:i/>
                <w:spacing w:val="-2"/>
                <w:sz w:val="17"/>
              </w:rPr>
              <w:t> </w:t>
            </w:r>
            <w:r>
              <w:rPr>
                <w:i/>
                <w:sz w:val="17"/>
              </w:rPr>
              <w:t>quo”</w:t>
            </w:r>
          </w:p>
          <w:p>
            <w:pPr>
              <w:pStyle w:val="TableParagraph"/>
              <w:numPr>
                <w:ilvl w:val="0"/>
                <w:numId w:val="44"/>
              </w:numPr>
              <w:tabs>
                <w:tab w:pos="425" w:val="left" w:leader="none"/>
                <w:tab w:pos="427" w:val="left" w:leader="none"/>
              </w:tabs>
              <w:spacing w:line="240" w:lineRule="auto" w:before="32" w:after="0"/>
              <w:ind w:left="426" w:right="0" w:hanging="361"/>
              <w:jc w:val="left"/>
              <w:rPr>
                <w:i/>
                <w:sz w:val="17"/>
              </w:rPr>
            </w:pPr>
            <w:r>
              <w:rPr>
                <w:i/>
                <w:sz w:val="17"/>
              </w:rPr>
              <w:t>“Addressing systemic</w:t>
            </w:r>
            <w:r>
              <w:rPr>
                <w:i/>
                <w:spacing w:val="-4"/>
                <w:sz w:val="17"/>
              </w:rPr>
              <w:t> </w:t>
            </w:r>
            <w:r>
              <w:rPr>
                <w:i/>
                <w:sz w:val="17"/>
              </w:rPr>
              <w:t>racism”</w:t>
            </w:r>
          </w:p>
          <w:p>
            <w:pPr>
              <w:pStyle w:val="TableParagraph"/>
              <w:numPr>
                <w:ilvl w:val="0"/>
                <w:numId w:val="44"/>
              </w:numPr>
              <w:tabs>
                <w:tab w:pos="425" w:val="left" w:leader="none"/>
                <w:tab w:pos="427" w:val="left" w:leader="none"/>
              </w:tabs>
              <w:spacing w:line="240" w:lineRule="auto" w:before="31" w:after="0"/>
              <w:ind w:left="426" w:right="0" w:hanging="361"/>
              <w:jc w:val="left"/>
              <w:rPr>
                <w:i/>
                <w:sz w:val="17"/>
              </w:rPr>
            </w:pPr>
            <w:r>
              <w:rPr>
                <w:i/>
                <w:sz w:val="17"/>
              </w:rPr>
              <w:t>“Even when discussion is hard, keep</w:t>
            </w:r>
            <w:r>
              <w:rPr>
                <w:i/>
                <w:spacing w:val="-6"/>
                <w:sz w:val="17"/>
              </w:rPr>
              <w:t> </w:t>
            </w:r>
            <w:r>
              <w:rPr>
                <w:i/>
                <w:sz w:val="17"/>
              </w:rPr>
              <w:t>engaging”</w:t>
            </w:r>
          </w:p>
        </w:tc>
      </w:tr>
      <w:tr>
        <w:trPr>
          <w:trHeight w:val="1965" w:hRule="atLeast"/>
        </w:trPr>
        <w:tc>
          <w:tcPr>
            <w:tcW w:w="2759" w:type="dxa"/>
            <w:tcBorders>
              <w:top w:val="single" w:sz="4" w:space="0" w:color="000000"/>
              <w:bottom w:val="single" w:sz="4" w:space="0" w:color="000000"/>
            </w:tcBorders>
          </w:tcPr>
          <w:p>
            <w:pPr>
              <w:pStyle w:val="TableParagraph"/>
              <w:spacing w:line="278" w:lineRule="auto" w:before="90"/>
              <w:ind w:left="429" w:right="347" w:hanging="360"/>
              <w:rPr>
                <w:sz w:val="17"/>
              </w:rPr>
            </w:pPr>
            <w:r>
              <w:rPr>
                <w:sz w:val="17"/>
              </w:rPr>
              <w:t>8. Recognise culture as a protective factor</w:t>
            </w:r>
          </w:p>
        </w:tc>
        <w:tc>
          <w:tcPr>
            <w:tcW w:w="6280" w:type="dxa"/>
            <w:tcBorders>
              <w:top w:val="single" w:sz="4" w:space="0" w:color="000000"/>
              <w:bottom w:val="single" w:sz="4" w:space="0" w:color="000000"/>
            </w:tcBorders>
          </w:tcPr>
          <w:p>
            <w:pPr>
              <w:pStyle w:val="TableParagraph"/>
              <w:numPr>
                <w:ilvl w:val="0"/>
                <w:numId w:val="45"/>
              </w:numPr>
              <w:tabs>
                <w:tab w:pos="425" w:val="left" w:leader="none"/>
                <w:tab w:pos="427" w:val="left" w:leader="none"/>
              </w:tabs>
              <w:spacing w:line="276" w:lineRule="auto" w:before="90" w:after="0"/>
              <w:ind w:left="426" w:right="698" w:hanging="360"/>
              <w:jc w:val="left"/>
              <w:rPr>
                <w:i/>
                <w:sz w:val="17"/>
              </w:rPr>
            </w:pPr>
            <w:r>
              <w:rPr>
                <w:i/>
                <w:sz w:val="17"/>
              </w:rPr>
              <w:t>“Actively value Aboriginal and Torres Strait Islander culture, </w:t>
            </w:r>
            <w:r>
              <w:rPr>
                <w:i/>
                <w:sz w:val="17"/>
              </w:rPr>
              <w:t>knowledge, history and</w:t>
            </w:r>
            <w:r>
              <w:rPr>
                <w:i/>
                <w:spacing w:val="-1"/>
                <w:sz w:val="17"/>
              </w:rPr>
              <w:t> </w:t>
            </w:r>
            <w:r>
              <w:rPr>
                <w:i/>
                <w:sz w:val="17"/>
              </w:rPr>
              <w:t>experiences”</w:t>
            </w:r>
          </w:p>
          <w:p>
            <w:pPr>
              <w:pStyle w:val="TableParagraph"/>
              <w:numPr>
                <w:ilvl w:val="0"/>
                <w:numId w:val="45"/>
              </w:numPr>
              <w:tabs>
                <w:tab w:pos="425" w:val="left" w:leader="none"/>
                <w:tab w:pos="427" w:val="left" w:leader="none"/>
              </w:tabs>
              <w:spacing w:line="276" w:lineRule="auto" w:before="3" w:after="0"/>
              <w:ind w:left="426" w:right="571" w:hanging="360"/>
              <w:jc w:val="left"/>
              <w:rPr>
                <w:i/>
                <w:sz w:val="17"/>
              </w:rPr>
            </w:pPr>
            <w:r>
              <w:rPr>
                <w:i/>
                <w:sz w:val="17"/>
              </w:rPr>
              <w:t>“Understand that culture is central to all areas of being, not a </w:t>
            </w:r>
            <w:r>
              <w:rPr>
                <w:i/>
                <w:sz w:val="17"/>
              </w:rPr>
              <w:t>standalone</w:t>
            </w:r>
            <w:r>
              <w:rPr>
                <w:i/>
                <w:spacing w:val="-1"/>
                <w:sz w:val="17"/>
              </w:rPr>
              <w:t> </w:t>
            </w:r>
            <w:r>
              <w:rPr>
                <w:i/>
                <w:sz w:val="17"/>
              </w:rPr>
              <w:t>outcome”</w:t>
            </w:r>
          </w:p>
          <w:p>
            <w:pPr>
              <w:pStyle w:val="TableParagraph"/>
              <w:numPr>
                <w:ilvl w:val="0"/>
                <w:numId w:val="45"/>
              </w:numPr>
              <w:tabs>
                <w:tab w:pos="425" w:val="left" w:leader="none"/>
                <w:tab w:pos="427" w:val="left" w:leader="none"/>
              </w:tabs>
              <w:spacing w:line="240" w:lineRule="auto" w:before="3" w:after="0"/>
              <w:ind w:left="426" w:right="0" w:hanging="361"/>
              <w:jc w:val="left"/>
              <w:rPr>
                <w:i/>
                <w:sz w:val="17"/>
              </w:rPr>
            </w:pPr>
            <w:r>
              <w:rPr>
                <w:i/>
                <w:sz w:val="17"/>
              </w:rPr>
              <w:t>“Being cultural centric in our thinking and</w:t>
            </w:r>
            <w:r>
              <w:rPr>
                <w:i/>
                <w:spacing w:val="-14"/>
                <w:sz w:val="17"/>
              </w:rPr>
              <w:t> </w:t>
            </w:r>
            <w:r>
              <w:rPr>
                <w:i/>
                <w:sz w:val="17"/>
              </w:rPr>
              <w:t>response”</w:t>
            </w:r>
          </w:p>
          <w:p>
            <w:pPr>
              <w:pStyle w:val="TableParagraph"/>
              <w:numPr>
                <w:ilvl w:val="0"/>
                <w:numId w:val="45"/>
              </w:numPr>
              <w:tabs>
                <w:tab w:pos="425" w:val="left" w:leader="none"/>
                <w:tab w:pos="427" w:val="left" w:leader="none"/>
              </w:tabs>
              <w:spacing w:line="276" w:lineRule="auto" w:before="32" w:after="0"/>
              <w:ind w:left="426" w:right="486" w:hanging="360"/>
              <w:jc w:val="left"/>
              <w:rPr>
                <w:i/>
                <w:sz w:val="17"/>
              </w:rPr>
            </w:pPr>
            <w:r>
              <w:rPr>
                <w:i/>
                <w:sz w:val="17"/>
              </w:rPr>
              <w:t>“Stop using a deficit frame around Aboriginal and Torres Strait </w:t>
            </w:r>
            <w:r>
              <w:rPr>
                <w:i/>
                <w:sz w:val="17"/>
              </w:rPr>
              <w:t>Islander</w:t>
            </w:r>
            <w:r>
              <w:rPr>
                <w:i/>
                <w:spacing w:val="-2"/>
                <w:sz w:val="17"/>
              </w:rPr>
              <w:t> </w:t>
            </w:r>
            <w:r>
              <w:rPr>
                <w:i/>
                <w:sz w:val="17"/>
              </w:rPr>
              <w:t>people”</w:t>
            </w:r>
          </w:p>
        </w:tc>
      </w:tr>
      <w:tr>
        <w:trPr>
          <w:trHeight w:val="1007" w:hRule="atLeast"/>
        </w:trPr>
        <w:tc>
          <w:tcPr>
            <w:tcW w:w="2759" w:type="dxa"/>
            <w:tcBorders>
              <w:top w:val="single" w:sz="4" w:space="0" w:color="000000"/>
            </w:tcBorders>
          </w:tcPr>
          <w:p>
            <w:pPr>
              <w:pStyle w:val="TableParagraph"/>
              <w:spacing w:line="278" w:lineRule="auto" w:before="90"/>
              <w:ind w:left="429" w:hanging="360"/>
              <w:rPr>
                <w:sz w:val="17"/>
              </w:rPr>
            </w:pPr>
            <w:r>
              <w:rPr>
                <w:sz w:val="17"/>
              </w:rPr>
              <w:t>9. Equitable funding, procurement and commissioning processes</w:t>
            </w:r>
          </w:p>
        </w:tc>
        <w:tc>
          <w:tcPr>
            <w:tcW w:w="6280" w:type="dxa"/>
            <w:tcBorders>
              <w:top w:val="single" w:sz="4" w:space="0" w:color="000000"/>
            </w:tcBorders>
          </w:tcPr>
          <w:p>
            <w:pPr>
              <w:pStyle w:val="TableParagraph"/>
              <w:numPr>
                <w:ilvl w:val="0"/>
                <w:numId w:val="46"/>
              </w:numPr>
              <w:tabs>
                <w:tab w:pos="425" w:val="left" w:leader="none"/>
                <w:tab w:pos="427" w:val="left" w:leader="none"/>
              </w:tabs>
              <w:spacing w:line="240" w:lineRule="auto" w:before="90" w:after="0"/>
              <w:ind w:left="426" w:right="0" w:hanging="361"/>
              <w:jc w:val="left"/>
              <w:rPr>
                <w:i/>
                <w:sz w:val="17"/>
              </w:rPr>
            </w:pPr>
            <w:r>
              <w:rPr>
                <w:i/>
                <w:sz w:val="17"/>
              </w:rPr>
              <w:t>“Transfer commissioning</w:t>
            </w:r>
            <w:r>
              <w:rPr>
                <w:i/>
                <w:spacing w:val="-2"/>
                <w:sz w:val="17"/>
              </w:rPr>
              <w:t> </w:t>
            </w:r>
            <w:r>
              <w:rPr>
                <w:i/>
                <w:sz w:val="17"/>
              </w:rPr>
              <w:t>processes”</w:t>
            </w:r>
          </w:p>
          <w:p>
            <w:pPr>
              <w:pStyle w:val="TableParagraph"/>
              <w:numPr>
                <w:ilvl w:val="0"/>
                <w:numId w:val="46"/>
              </w:numPr>
              <w:tabs>
                <w:tab w:pos="425" w:val="left" w:leader="none"/>
                <w:tab w:pos="427" w:val="left" w:leader="none"/>
              </w:tabs>
              <w:spacing w:line="240" w:lineRule="auto" w:before="32" w:after="0"/>
              <w:ind w:left="426" w:right="0" w:hanging="361"/>
              <w:jc w:val="left"/>
              <w:rPr>
                <w:i/>
                <w:sz w:val="17"/>
              </w:rPr>
            </w:pPr>
            <w:r>
              <w:rPr>
                <w:i/>
                <w:sz w:val="17"/>
              </w:rPr>
              <w:t>“Cease funding arrangements in a way that grows</w:t>
            </w:r>
            <w:r>
              <w:rPr>
                <w:i/>
                <w:spacing w:val="-12"/>
                <w:sz w:val="17"/>
              </w:rPr>
              <w:t> </w:t>
            </w:r>
            <w:r>
              <w:rPr>
                <w:i/>
                <w:sz w:val="17"/>
              </w:rPr>
              <w:t>competition</w:t>
            </w:r>
          </w:p>
          <w:p>
            <w:pPr>
              <w:pStyle w:val="TableParagraph"/>
              <w:spacing w:before="32"/>
              <w:ind w:left="426"/>
              <w:rPr>
                <w:i/>
                <w:sz w:val="17"/>
              </w:rPr>
            </w:pPr>
            <w:r>
              <w:rPr>
                <w:i/>
                <w:sz w:val="17"/>
              </w:rPr>
              <w:t>rather than collaboration”</w:t>
            </w:r>
          </w:p>
        </w:tc>
      </w:tr>
      <w:tr>
        <w:trPr>
          <w:trHeight w:val="535" w:hRule="atLeast"/>
        </w:trPr>
        <w:tc>
          <w:tcPr>
            <w:tcW w:w="9039" w:type="dxa"/>
            <w:gridSpan w:val="2"/>
            <w:shd w:val="clear" w:color="auto" w:fill="DFEFF8"/>
          </w:tcPr>
          <w:p>
            <w:pPr>
              <w:pStyle w:val="TableParagraph"/>
              <w:spacing w:before="95"/>
              <w:ind w:left="11"/>
              <w:rPr>
                <w:b/>
                <w:sz w:val="17"/>
              </w:rPr>
            </w:pPr>
            <w:r>
              <w:rPr>
                <w:b/>
                <w:sz w:val="17"/>
              </w:rPr>
              <w:t>Theme 4: Whole-of-system commitment</w:t>
            </w:r>
          </w:p>
        </w:tc>
      </w:tr>
      <w:tr>
        <w:trPr>
          <w:trHeight w:val="1488" w:hRule="atLeast"/>
        </w:trPr>
        <w:tc>
          <w:tcPr>
            <w:tcW w:w="2759" w:type="dxa"/>
            <w:tcBorders>
              <w:bottom w:val="single" w:sz="4" w:space="0" w:color="000000"/>
            </w:tcBorders>
          </w:tcPr>
          <w:p>
            <w:pPr>
              <w:pStyle w:val="TableParagraph"/>
              <w:spacing w:line="278" w:lineRule="auto" w:before="95"/>
              <w:ind w:left="429" w:right="198" w:hanging="360"/>
              <w:rPr>
                <w:i/>
                <w:sz w:val="17"/>
              </w:rPr>
            </w:pPr>
            <w:r>
              <w:rPr>
                <w:sz w:val="17"/>
              </w:rPr>
              <w:t>10. Whole-of-system awareness and commitment to </w:t>
            </w:r>
            <w:r>
              <w:rPr>
                <w:i/>
                <w:sz w:val="17"/>
              </w:rPr>
              <w:t>Our Way</w:t>
            </w:r>
          </w:p>
        </w:tc>
        <w:tc>
          <w:tcPr>
            <w:tcW w:w="6280" w:type="dxa"/>
            <w:tcBorders>
              <w:bottom w:val="single" w:sz="4" w:space="0" w:color="000000"/>
            </w:tcBorders>
          </w:tcPr>
          <w:p>
            <w:pPr>
              <w:pStyle w:val="TableParagraph"/>
              <w:numPr>
                <w:ilvl w:val="0"/>
                <w:numId w:val="47"/>
              </w:numPr>
              <w:tabs>
                <w:tab w:pos="425" w:val="left" w:leader="none"/>
                <w:tab w:pos="427" w:val="left" w:leader="none"/>
              </w:tabs>
              <w:spacing w:line="240" w:lineRule="auto" w:before="95" w:after="0"/>
              <w:ind w:left="426" w:right="0" w:hanging="361"/>
              <w:jc w:val="left"/>
              <w:rPr>
                <w:i/>
                <w:sz w:val="17"/>
              </w:rPr>
            </w:pPr>
            <w:r>
              <w:rPr>
                <w:i/>
                <w:sz w:val="17"/>
              </w:rPr>
              <w:t>“Seek other champions across communities and</w:t>
            </w:r>
            <w:r>
              <w:rPr>
                <w:i/>
                <w:spacing w:val="-10"/>
                <w:sz w:val="17"/>
              </w:rPr>
              <w:t> </w:t>
            </w:r>
            <w:r>
              <w:rPr>
                <w:i/>
                <w:sz w:val="17"/>
              </w:rPr>
              <w:t>government”</w:t>
            </w:r>
          </w:p>
          <w:p>
            <w:pPr>
              <w:pStyle w:val="TableParagraph"/>
              <w:numPr>
                <w:ilvl w:val="0"/>
                <w:numId w:val="47"/>
              </w:numPr>
              <w:tabs>
                <w:tab w:pos="425" w:val="left" w:leader="none"/>
                <w:tab w:pos="427" w:val="left" w:leader="none"/>
              </w:tabs>
              <w:spacing w:line="276" w:lineRule="auto" w:before="32" w:after="0"/>
              <w:ind w:left="426" w:right="507" w:hanging="360"/>
              <w:jc w:val="left"/>
              <w:rPr>
                <w:i/>
                <w:sz w:val="17"/>
              </w:rPr>
            </w:pPr>
            <w:r>
              <w:rPr>
                <w:i/>
                <w:sz w:val="17"/>
              </w:rPr>
              <w:t>“Continue to stay committed and united to achieve our</w:t>
            </w:r>
            <w:r>
              <w:rPr>
                <w:i/>
                <w:spacing w:val="-16"/>
                <w:sz w:val="17"/>
              </w:rPr>
              <w:t> </w:t>
            </w:r>
            <w:r>
              <w:rPr>
                <w:i/>
                <w:sz w:val="17"/>
              </w:rPr>
              <w:t>shared </w:t>
            </w:r>
            <w:r>
              <w:rPr>
                <w:i/>
                <w:sz w:val="17"/>
              </w:rPr>
              <w:t>goals”</w:t>
            </w:r>
          </w:p>
          <w:p>
            <w:pPr>
              <w:pStyle w:val="TableParagraph"/>
              <w:numPr>
                <w:ilvl w:val="0"/>
                <w:numId w:val="47"/>
              </w:numPr>
              <w:tabs>
                <w:tab w:pos="425" w:val="left" w:leader="none"/>
                <w:tab w:pos="427" w:val="left" w:leader="none"/>
              </w:tabs>
              <w:spacing w:line="240" w:lineRule="auto" w:before="3" w:after="0"/>
              <w:ind w:left="426" w:right="0" w:hanging="361"/>
              <w:jc w:val="left"/>
              <w:rPr>
                <w:i/>
                <w:sz w:val="17"/>
              </w:rPr>
            </w:pPr>
            <w:r>
              <w:rPr>
                <w:i/>
                <w:sz w:val="17"/>
              </w:rPr>
              <w:t>“Sharing</w:t>
            </w:r>
            <w:r>
              <w:rPr>
                <w:i/>
                <w:spacing w:val="-1"/>
                <w:sz w:val="17"/>
              </w:rPr>
              <w:t> </w:t>
            </w:r>
            <w:r>
              <w:rPr>
                <w:i/>
                <w:sz w:val="17"/>
              </w:rPr>
              <w:t>success”</w:t>
            </w:r>
          </w:p>
          <w:p>
            <w:pPr>
              <w:pStyle w:val="TableParagraph"/>
              <w:numPr>
                <w:ilvl w:val="0"/>
                <w:numId w:val="47"/>
              </w:numPr>
              <w:tabs>
                <w:tab w:pos="425" w:val="left" w:leader="none"/>
                <w:tab w:pos="427" w:val="left" w:leader="none"/>
              </w:tabs>
              <w:spacing w:line="240" w:lineRule="auto" w:before="32" w:after="0"/>
              <w:ind w:left="426" w:right="0" w:hanging="361"/>
              <w:jc w:val="left"/>
              <w:rPr>
                <w:i/>
                <w:sz w:val="17"/>
              </w:rPr>
            </w:pPr>
            <w:r>
              <w:rPr>
                <w:i/>
                <w:sz w:val="17"/>
              </w:rPr>
              <w:t>“Stop thinking of this as a child protection issue</w:t>
            </w:r>
            <w:r>
              <w:rPr>
                <w:i/>
                <w:spacing w:val="-14"/>
                <w:sz w:val="17"/>
              </w:rPr>
              <w:t> </w:t>
            </w:r>
            <w:r>
              <w:rPr>
                <w:i/>
                <w:sz w:val="17"/>
              </w:rPr>
              <w:t>alone”</w:t>
            </w:r>
          </w:p>
        </w:tc>
      </w:tr>
      <w:tr>
        <w:trPr>
          <w:trHeight w:val="1965" w:hRule="atLeast"/>
        </w:trPr>
        <w:tc>
          <w:tcPr>
            <w:tcW w:w="2759" w:type="dxa"/>
            <w:tcBorders>
              <w:top w:val="single" w:sz="4" w:space="0" w:color="000000"/>
              <w:bottom w:val="single" w:sz="4" w:space="0" w:color="000000"/>
            </w:tcBorders>
          </w:tcPr>
          <w:p>
            <w:pPr>
              <w:pStyle w:val="TableParagraph"/>
              <w:spacing w:line="278" w:lineRule="auto" w:before="90"/>
              <w:ind w:left="429" w:hanging="360"/>
              <w:rPr>
                <w:sz w:val="17"/>
              </w:rPr>
            </w:pPr>
            <w:r>
              <w:rPr>
                <w:sz w:val="17"/>
              </w:rPr>
              <w:t>11. Effective collaboration and genuine partnerships</w:t>
            </w:r>
          </w:p>
        </w:tc>
        <w:tc>
          <w:tcPr>
            <w:tcW w:w="6280" w:type="dxa"/>
            <w:tcBorders>
              <w:top w:val="single" w:sz="4" w:space="0" w:color="000000"/>
              <w:bottom w:val="single" w:sz="4" w:space="0" w:color="000000"/>
            </w:tcBorders>
          </w:tcPr>
          <w:p>
            <w:pPr>
              <w:pStyle w:val="TableParagraph"/>
              <w:numPr>
                <w:ilvl w:val="0"/>
                <w:numId w:val="48"/>
              </w:numPr>
              <w:tabs>
                <w:tab w:pos="425" w:val="left" w:leader="none"/>
                <w:tab w:pos="427" w:val="left" w:leader="none"/>
              </w:tabs>
              <w:spacing w:line="240" w:lineRule="auto" w:before="90" w:after="0"/>
              <w:ind w:left="426" w:right="0" w:hanging="361"/>
              <w:jc w:val="left"/>
              <w:rPr>
                <w:i/>
                <w:sz w:val="17"/>
              </w:rPr>
            </w:pPr>
            <w:r>
              <w:rPr>
                <w:i/>
                <w:sz w:val="17"/>
              </w:rPr>
              <w:t>“Break down barriers to work together in true</w:t>
            </w:r>
            <w:r>
              <w:rPr>
                <w:i/>
                <w:spacing w:val="-9"/>
                <w:sz w:val="17"/>
              </w:rPr>
              <w:t> </w:t>
            </w:r>
            <w:r>
              <w:rPr>
                <w:i/>
                <w:sz w:val="17"/>
              </w:rPr>
              <w:t>partnership”</w:t>
            </w:r>
          </w:p>
          <w:p>
            <w:pPr>
              <w:pStyle w:val="TableParagraph"/>
              <w:numPr>
                <w:ilvl w:val="0"/>
                <w:numId w:val="48"/>
              </w:numPr>
              <w:tabs>
                <w:tab w:pos="425" w:val="left" w:leader="none"/>
                <w:tab w:pos="427" w:val="left" w:leader="none"/>
              </w:tabs>
              <w:spacing w:line="240" w:lineRule="auto" w:before="32" w:after="0"/>
              <w:ind w:left="426" w:right="0" w:hanging="361"/>
              <w:jc w:val="left"/>
              <w:rPr>
                <w:i/>
                <w:sz w:val="17"/>
              </w:rPr>
            </w:pPr>
            <w:r>
              <w:rPr>
                <w:i/>
                <w:sz w:val="17"/>
              </w:rPr>
              <w:t>“Tackling challenges</w:t>
            </w:r>
            <w:r>
              <w:rPr>
                <w:i/>
                <w:spacing w:val="-1"/>
                <w:sz w:val="17"/>
              </w:rPr>
              <w:t> </w:t>
            </w:r>
            <w:r>
              <w:rPr>
                <w:i/>
                <w:sz w:val="17"/>
              </w:rPr>
              <w:t>together”</w:t>
            </w:r>
          </w:p>
          <w:p>
            <w:pPr>
              <w:pStyle w:val="TableParagraph"/>
              <w:numPr>
                <w:ilvl w:val="0"/>
                <w:numId w:val="48"/>
              </w:numPr>
              <w:tabs>
                <w:tab w:pos="425" w:val="left" w:leader="none"/>
                <w:tab w:pos="427" w:val="left" w:leader="none"/>
              </w:tabs>
              <w:spacing w:line="240" w:lineRule="auto" w:before="32" w:after="0"/>
              <w:ind w:left="426" w:right="0" w:hanging="361"/>
              <w:jc w:val="left"/>
              <w:rPr>
                <w:i/>
                <w:sz w:val="17"/>
              </w:rPr>
            </w:pPr>
            <w:r>
              <w:rPr>
                <w:i/>
                <w:sz w:val="17"/>
              </w:rPr>
              <w:t>“Find opportunities to do things</w:t>
            </w:r>
            <w:r>
              <w:rPr>
                <w:i/>
                <w:spacing w:val="-2"/>
                <w:sz w:val="17"/>
              </w:rPr>
              <w:t> </w:t>
            </w:r>
            <w:r>
              <w:rPr>
                <w:i/>
                <w:sz w:val="17"/>
              </w:rPr>
              <w:t>together”</w:t>
            </w:r>
          </w:p>
          <w:p>
            <w:pPr>
              <w:pStyle w:val="TableParagraph"/>
              <w:numPr>
                <w:ilvl w:val="0"/>
                <w:numId w:val="48"/>
              </w:numPr>
              <w:tabs>
                <w:tab w:pos="425" w:val="left" w:leader="none"/>
                <w:tab w:pos="427" w:val="left" w:leader="none"/>
              </w:tabs>
              <w:spacing w:line="276" w:lineRule="auto" w:before="31" w:after="0"/>
              <w:ind w:left="426" w:right="117" w:hanging="360"/>
              <w:jc w:val="left"/>
              <w:rPr>
                <w:i/>
                <w:sz w:val="17"/>
              </w:rPr>
            </w:pPr>
            <w:r>
              <w:rPr>
                <w:i/>
                <w:sz w:val="17"/>
              </w:rPr>
              <w:t>“Establish community engagement frameworks across government </w:t>
            </w:r>
            <w:r>
              <w:rPr>
                <w:i/>
                <w:sz w:val="17"/>
              </w:rPr>
              <w:t>agencies”</w:t>
            </w:r>
          </w:p>
          <w:p>
            <w:pPr>
              <w:pStyle w:val="TableParagraph"/>
              <w:numPr>
                <w:ilvl w:val="0"/>
                <w:numId w:val="48"/>
              </w:numPr>
              <w:tabs>
                <w:tab w:pos="425" w:val="left" w:leader="none"/>
                <w:tab w:pos="427" w:val="left" w:leader="none"/>
              </w:tabs>
              <w:spacing w:line="240" w:lineRule="auto" w:before="3" w:after="0"/>
              <w:ind w:left="426" w:right="0" w:hanging="361"/>
              <w:jc w:val="left"/>
              <w:rPr>
                <w:i/>
                <w:sz w:val="17"/>
              </w:rPr>
            </w:pPr>
            <w:r>
              <w:rPr>
                <w:i/>
                <w:sz w:val="17"/>
              </w:rPr>
              <w:t>“Stop developing unaligned</w:t>
            </w:r>
            <w:r>
              <w:rPr>
                <w:i/>
                <w:spacing w:val="-11"/>
                <w:sz w:val="17"/>
              </w:rPr>
              <w:t> </w:t>
            </w:r>
            <w:r>
              <w:rPr>
                <w:i/>
                <w:sz w:val="17"/>
              </w:rPr>
              <w:t>policy”</w:t>
            </w:r>
          </w:p>
          <w:p>
            <w:pPr>
              <w:pStyle w:val="TableParagraph"/>
              <w:numPr>
                <w:ilvl w:val="0"/>
                <w:numId w:val="48"/>
              </w:numPr>
              <w:tabs>
                <w:tab w:pos="425" w:val="left" w:leader="none"/>
                <w:tab w:pos="427" w:val="left" w:leader="none"/>
              </w:tabs>
              <w:spacing w:line="240" w:lineRule="auto" w:before="32" w:after="0"/>
              <w:ind w:left="426" w:right="0" w:hanging="361"/>
              <w:jc w:val="left"/>
              <w:rPr>
                <w:i/>
                <w:sz w:val="17"/>
              </w:rPr>
            </w:pPr>
            <w:r>
              <w:rPr>
                <w:i/>
                <w:sz w:val="17"/>
              </w:rPr>
              <w:t>“Share information and</w:t>
            </w:r>
            <w:r>
              <w:rPr>
                <w:i/>
                <w:spacing w:val="-12"/>
                <w:sz w:val="17"/>
              </w:rPr>
              <w:t> </w:t>
            </w:r>
            <w:r>
              <w:rPr>
                <w:i/>
                <w:sz w:val="17"/>
              </w:rPr>
              <w:t>resources”</w:t>
            </w:r>
          </w:p>
        </w:tc>
      </w:tr>
    </w:tbl>
    <w:p>
      <w:pPr>
        <w:spacing w:before="46"/>
        <w:ind w:left="300" w:right="0" w:firstLine="0"/>
        <w:jc w:val="left"/>
        <w:rPr>
          <w:sz w:val="16"/>
        </w:rPr>
      </w:pPr>
      <w:r>
        <w:rPr>
          <w:color w:val="75787A"/>
          <w:sz w:val="16"/>
        </w:rPr>
        <w:t>Source: Deloitte Access Economics’ analysis of </w:t>
      </w:r>
      <w:r>
        <w:rPr>
          <w:i/>
          <w:color w:val="75787A"/>
          <w:sz w:val="16"/>
        </w:rPr>
        <w:t>Our Way </w:t>
      </w:r>
      <w:r>
        <w:rPr>
          <w:color w:val="75787A"/>
          <w:sz w:val="16"/>
        </w:rPr>
        <w:t>Theory of Change workshop</w:t>
      </w:r>
    </w:p>
    <w:p>
      <w:pPr>
        <w:spacing w:after="0"/>
        <w:jc w:val="left"/>
        <w:rPr>
          <w:sz w:val="16"/>
        </w:rPr>
        <w:sectPr>
          <w:pgSz w:w="11910" w:h="16840"/>
          <w:pgMar w:header="650" w:footer="420" w:top="1340" w:bottom="620" w:left="1140" w:right="700"/>
        </w:sectPr>
      </w:pPr>
    </w:p>
    <w:p>
      <w:pPr>
        <w:pStyle w:val="Heading4"/>
        <w:numPr>
          <w:ilvl w:val="2"/>
          <w:numId w:val="24"/>
        </w:numPr>
        <w:tabs>
          <w:tab w:pos="1320" w:val="left" w:leader="none"/>
          <w:tab w:pos="1321" w:val="left" w:leader="none"/>
        </w:tabs>
        <w:spacing w:line="240" w:lineRule="auto" w:before="109" w:after="0"/>
        <w:ind w:left="1320" w:right="0" w:hanging="1021"/>
        <w:jc w:val="left"/>
      </w:pPr>
      <w:bookmarkStart w:name="_bookmark88" w:id="143"/>
      <w:bookmarkEnd w:id="143"/>
      <w:r>
        <w:rPr>
          <w:b w:val="0"/>
        </w:rPr>
      </w:r>
      <w:bookmarkStart w:name="_bookmark88" w:id="144"/>
      <w:bookmarkEnd w:id="144"/>
      <w:r>
        <w:rPr/>
        <w:t>I</w:t>
      </w:r>
      <w:r>
        <w:rPr/>
        <w:t>mplications on the design of the Theory of</w:t>
      </w:r>
      <w:r>
        <w:rPr>
          <w:spacing w:val="1"/>
        </w:rPr>
        <w:t> </w:t>
      </w:r>
      <w:r>
        <w:rPr/>
        <w:t>Change</w:t>
      </w:r>
    </w:p>
    <w:p>
      <w:pPr>
        <w:pStyle w:val="BodyText"/>
        <w:spacing w:line="264" w:lineRule="auto" w:before="21"/>
        <w:ind w:left="300" w:right="759"/>
      </w:pPr>
      <w:r>
        <w:rPr/>
        <w:t>Based on the feedback received through the workshop and semi-structured interviews, a Theory of Change was designed (see </w:t>
      </w:r>
      <w:hyperlink w:history="true" w:anchor="_bookmark90">
        <w:r>
          <w:rPr/>
          <w:t>Figure 6.2</w:t>
        </w:r>
      </w:hyperlink>
      <w:r>
        <w:rPr/>
        <w:t>). The key elements of the Theory of Change are elaborated further in </w:t>
      </w:r>
      <w:hyperlink w:history="true" w:anchor="_bookmark89">
        <w:r>
          <w:rPr/>
          <w:t>Table 6.2</w:t>
        </w:r>
      </w:hyperlink>
      <w:r>
        <w:rPr/>
        <w:t>.</w:t>
      </w:r>
    </w:p>
    <w:p>
      <w:pPr>
        <w:pStyle w:val="BodyText"/>
        <w:spacing w:before="7"/>
        <w:rPr>
          <w:sz w:val="20"/>
        </w:rPr>
      </w:pPr>
    </w:p>
    <w:p>
      <w:pPr>
        <w:spacing w:before="0"/>
        <w:ind w:left="300" w:right="0" w:firstLine="0"/>
        <w:jc w:val="left"/>
        <w:rPr>
          <w:sz w:val="17"/>
        </w:rPr>
      </w:pPr>
      <w:r>
        <w:rPr/>
        <w:drawing>
          <wp:anchor distT="0" distB="0" distL="0" distR="0" allowOverlap="1" layoutInCell="1" locked="0" behindDoc="1" simplePos="0" relativeHeight="245186560">
            <wp:simplePos x="0" y="0"/>
            <wp:positionH relativeFrom="page">
              <wp:posOffset>819785</wp:posOffset>
            </wp:positionH>
            <wp:positionV relativeFrom="paragraph">
              <wp:posOffset>798520</wp:posOffset>
            </wp:positionV>
            <wp:extent cx="826297" cy="704850"/>
            <wp:effectExtent l="0" t="0" r="0" b="0"/>
            <wp:wrapNone/>
            <wp:docPr id="55" name="image50.png"/>
            <wp:cNvGraphicFramePr>
              <a:graphicFrameLocks noChangeAspect="1"/>
            </wp:cNvGraphicFramePr>
            <a:graphic>
              <a:graphicData uri="http://schemas.openxmlformats.org/drawingml/2006/picture">
                <pic:pic>
                  <pic:nvPicPr>
                    <pic:cNvPr id="56" name="image50.png"/>
                    <pic:cNvPicPr/>
                  </pic:nvPicPr>
                  <pic:blipFill>
                    <a:blip r:embed="rId74" cstate="print"/>
                    <a:stretch>
                      <a:fillRect/>
                    </a:stretch>
                  </pic:blipFill>
                  <pic:spPr>
                    <a:xfrm>
                      <a:off x="0" y="0"/>
                      <a:ext cx="826297" cy="704850"/>
                    </a:xfrm>
                    <a:prstGeom prst="rect">
                      <a:avLst/>
                    </a:prstGeom>
                  </pic:spPr>
                </pic:pic>
              </a:graphicData>
            </a:graphic>
          </wp:anchor>
        </w:drawing>
      </w:r>
      <w:r>
        <w:rPr>
          <w:color w:val="75787A"/>
          <w:sz w:val="17"/>
        </w:rPr>
        <w:t>Table </w:t>
      </w:r>
      <w:bookmarkStart w:name="_bookmark89" w:id="145"/>
      <w:bookmarkEnd w:id="145"/>
      <w:r>
        <w:rPr>
          <w:color w:val="75787A"/>
          <w:sz w:val="17"/>
        </w:rPr>
        <w:t>6.2</w:t>
      </w:r>
      <w:r>
        <w:rPr>
          <w:color w:val="75787A"/>
          <w:sz w:val="17"/>
        </w:rPr>
        <w:t> Theory of Change elements</w:t>
      </w:r>
    </w:p>
    <w:p>
      <w:pPr>
        <w:pStyle w:val="BodyText"/>
        <w:spacing w:before="10"/>
        <w:rPr>
          <w:sz w:val="19"/>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9"/>
        <w:gridCol w:w="5654"/>
      </w:tblGrid>
      <w:tr>
        <w:trPr>
          <w:trHeight w:val="563" w:hRule="atLeast"/>
        </w:trPr>
        <w:tc>
          <w:tcPr>
            <w:tcW w:w="3549" w:type="dxa"/>
            <w:tcBorders>
              <w:top w:val="single" w:sz="24" w:space="0" w:color="61B5E4"/>
              <w:bottom w:val="single" w:sz="4" w:space="0" w:color="000000"/>
            </w:tcBorders>
          </w:tcPr>
          <w:p>
            <w:pPr>
              <w:pStyle w:val="TableParagraph"/>
              <w:spacing w:before="90"/>
              <w:ind w:left="71"/>
              <w:rPr>
                <w:b/>
                <w:sz w:val="17"/>
              </w:rPr>
            </w:pPr>
            <w:r>
              <w:rPr>
                <w:b/>
                <w:sz w:val="17"/>
              </w:rPr>
              <w:t>Theory of Change elements</w:t>
            </w:r>
          </w:p>
        </w:tc>
        <w:tc>
          <w:tcPr>
            <w:tcW w:w="5654" w:type="dxa"/>
            <w:tcBorders>
              <w:top w:val="single" w:sz="24" w:space="0" w:color="61B5E4"/>
              <w:bottom w:val="single" w:sz="4" w:space="0" w:color="000000"/>
            </w:tcBorders>
          </w:tcPr>
          <w:p>
            <w:pPr>
              <w:pStyle w:val="TableParagraph"/>
              <w:spacing w:before="90"/>
              <w:ind w:left="68"/>
              <w:rPr>
                <w:b/>
                <w:sz w:val="17"/>
              </w:rPr>
            </w:pPr>
            <w:r>
              <w:rPr>
                <w:b/>
                <w:sz w:val="17"/>
              </w:rPr>
              <w:t>Details</w:t>
            </w:r>
          </w:p>
        </w:tc>
      </w:tr>
      <w:tr>
        <w:trPr>
          <w:trHeight w:val="3573" w:hRule="atLeast"/>
        </w:trPr>
        <w:tc>
          <w:tcPr>
            <w:tcW w:w="3549" w:type="dxa"/>
            <w:tcBorders>
              <w:top w:val="single" w:sz="4" w:space="0" w:color="000000"/>
              <w:bottom w:val="single" w:sz="4" w:space="0" w:color="000000"/>
            </w:tcBorders>
          </w:tcPr>
          <w:p>
            <w:pPr>
              <w:pStyle w:val="TableParagraph"/>
              <w:spacing w:line="278" w:lineRule="auto" w:before="90"/>
              <w:ind w:left="1291" w:right="309"/>
              <w:rPr>
                <w:b/>
                <w:sz w:val="17"/>
              </w:rPr>
            </w:pPr>
            <w:r>
              <w:rPr>
                <w:b/>
                <w:sz w:val="17"/>
              </w:rPr>
              <w:t>The roots of the </w:t>
            </w:r>
            <w:r>
              <w:rPr>
                <w:b/>
                <w:i/>
                <w:sz w:val="17"/>
              </w:rPr>
              <w:t>Our </w:t>
            </w:r>
            <w:r>
              <w:rPr>
                <w:b/>
                <w:i/>
                <w:sz w:val="17"/>
              </w:rPr>
              <w:t>Way </w:t>
            </w:r>
            <w:r>
              <w:rPr>
                <w:b/>
                <w:sz w:val="17"/>
              </w:rPr>
              <w:t>system:</w:t>
            </w:r>
          </w:p>
          <w:p>
            <w:pPr>
              <w:pStyle w:val="TableParagraph"/>
              <w:spacing w:line="278" w:lineRule="auto" w:before="1"/>
              <w:ind w:left="1291" w:right="51"/>
              <w:rPr>
                <w:sz w:val="17"/>
              </w:rPr>
            </w:pPr>
            <w:r>
              <w:rPr>
                <w:sz w:val="17"/>
              </w:rPr>
              <w:t>Four main future areas of focus and enabling activities</w:t>
            </w:r>
          </w:p>
        </w:tc>
        <w:tc>
          <w:tcPr>
            <w:tcW w:w="5654" w:type="dxa"/>
            <w:tcBorders>
              <w:top w:val="single" w:sz="4" w:space="0" w:color="000000"/>
              <w:bottom w:val="single" w:sz="4" w:space="0" w:color="000000"/>
            </w:tcBorders>
          </w:tcPr>
          <w:p>
            <w:pPr>
              <w:pStyle w:val="TableParagraph"/>
              <w:spacing w:line="278" w:lineRule="auto" w:before="90"/>
              <w:ind w:left="68" w:right="255"/>
              <w:rPr>
                <w:sz w:val="17"/>
              </w:rPr>
            </w:pPr>
            <w:r>
              <w:rPr>
                <w:sz w:val="17"/>
              </w:rPr>
              <w:t>The four priority areas were drawn from key priority actions identified by stakeholders during the Theory of Change workshop (see </w:t>
            </w:r>
            <w:hyperlink w:history="true" w:anchor="_bookmark87">
              <w:r>
                <w:rPr>
                  <w:sz w:val="17"/>
                </w:rPr>
                <w:t>Table 6.1</w:t>
              </w:r>
            </w:hyperlink>
            <w:r>
              <w:rPr>
                <w:sz w:val="17"/>
              </w:rPr>
              <w:t>). These actions and changes have to be collectively undertaken by system stakeholders over the remaining years of </w:t>
            </w:r>
            <w:r>
              <w:rPr>
                <w:i/>
                <w:sz w:val="17"/>
              </w:rPr>
              <w:t>Our Way</w:t>
            </w:r>
            <w:r>
              <w:rPr>
                <w:sz w:val="17"/>
              </w:rPr>
              <w:t>.</w:t>
            </w:r>
          </w:p>
          <w:p>
            <w:pPr>
              <w:pStyle w:val="TableParagraph"/>
              <w:spacing w:line="278" w:lineRule="auto" w:before="173"/>
              <w:ind w:left="68" w:right="81"/>
              <w:rPr>
                <w:sz w:val="17"/>
              </w:rPr>
            </w:pPr>
            <w:r>
              <w:rPr>
                <w:sz w:val="17"/>
              </w:rPr>
              <w:t>Given the well-established cross-system buy in to the Closing the Gap priority areas as well as potential synergy gains through alignment with </w:t>
            </w:r>
            <w:r>
              <w:rPr>
                <w:i/>
                <w:sz w:val="17"/>
              </w:rPr>
              <w:t>Our Way, </w:t>
            </w:r>
            <w:r>
              <w:rPr>
                <w:sz w:val="17"/>
              </w:rPr>
              <w:t>the priority areas are also generally aligned with Closing the Gap’s Priority Reform Areas. However, there is comparatively more focus on whole-of- system commitment and engagements due to stakeholder feedback on the need to increase collaboration and partnerships within the </w:t>
            </w:r>
            <w:r>
              <w:rPr>
                <w:i/>
                <w:sz w:val="17"/>
              </w:rPr>
              <w:t>Our Way</w:t>
            </w:r>
            <w:r>
              <w:rPr>
                <w:i/>
                <w:spacing w:val="-1"/>
                <w:sz w:val="17"/>
              </w:rPr>
              <w:t> </w:t>
            </w:r>
            <w:r>
              <w:rPr>
                <w:sz w:val="17"/>
              </w:rPr>
              <w:t>system.</w:t>
            </w:r>
          </w:p>
        </w:tc>
      </w:tr>
      <w:tr>
        <w:trPr>
          <w:trHeight w:val="2685" w:hRule="atLeast"/>
        </w:trPr>
        <w:tc>
          <w:tcPr>
            <w:tcW w:w="3549" w:type="dxa"/>
            <w:tcBorders>
              <w:top w:val="single" w:sz="4" w:space="0" w:color="000000"/>
              <w:bottom w:val="single" w:sz="4" w:space="0" w:color="000000"/>
            </w:tcBorders>
          </w:tcPr>
          <w:p>
            <w:pPr>
              <w:pStyle w:val="TableParagraph"/>
              <w:spacing w:before="90"/>
              <w:ind w:left="1291"/>
              <w:rPr>
                <w:b/>
                <w:sz w:val="17"/>
              </w:rPr>
            </w:pPr>
            <w:r>
              <w:rPr>
                <w:b/>
                <w:sz w:val="17"/>
              </w:rPr>
              <w:t>The </w:t>
            </w:r>
            <w:r>
              <w:rPr>
                <w:b/>
                <w:i/>
                <w:sz w:val="17"/>
              </w:rPr>
              <w:t>Our Way</w:t>
            </w:r>
            <w:r>
              <w:rPr>
                <w:b/>
                <w:i/>
                <w:spacing w:val="-12"/>
                <w:sz w:val="17"/>
              </w:rPr>
              <w:t> </w:t>
            </w:r>
            <w:r>
              <w:rPr>
                <w:b/>
                <w:sz w:val="17"/>
              </w:rPr>
              <w:t>system:</w:t>
            </w:r>
          </w:p>
          <w:p>
            <w:pPr>
              <w:pStyle w:val="TableParagraph"/>
              <w:spacing w:before="34"/>
              <w:ind w:left="1291"/>
              <w:rPr>
                <w:sz w:val="17"/>
              </w:rPr>
            </w:pPr>
            <w:r>
              <w:rPr>
                <w:sz w:val="17"/>
              </w:rPr>
              <w:t>Key stakeholder</w:t>
            </w:r>
            <w:r>
              <w:rPr>
                <w:spacing w:val="-6"/>
                <w:sz w:val="17"/>
              </w:rPr>
              <w:t> </w:t>
            </w:r>
            <w:r>
              <w:rPr>
                <w:sz w:val="17"/>
              </w:rPr>
              <w:t>groups</w:t>
            </w:r>
          </w:p>
        </w:tc>
        <w:tc>
          <w:tcPr>
            <w:tcW w:w="5654" w:type="dxa"/>
            <w:tcBorders>
              <w:top w:val="single" w:sz="4" w:space="0" w:color="000000"/>
              <w:bottom w:val="single" w:sz="4" w:space="0" w:color="000000"/>
            </w:tcBorders>
          </w:tcPr>
          <w:p>
            <w:pPr>
              <w:pStyle w:val="TableParagraph"/>
              <w:spacing w:line="278" w:lineRule="auto" w:before="90"/>
              <w:ind w:left="68" w:right="79"/>
              <w:rPr>
                <w:sz w:val="17"/>
              </w:rPr>
            </w:pPr>
            <w:r>
              <w:rPr>
                <w:sz w:val="17"/>
              </w:rPr>
              <w:t>The </w:t>
            </w:r>
            <w:r>
              <w:rPr>
                <w:i/>
                <w:sz w:val="17"/>
              </w:rPr>
              <w:t>Our Way </w:t>
            </w:r>
            <w:r>
              <w:rPr>
                <w:sz w:val="17"/>
              </w:rPr>
              <w:t>system is included in the Theory of Change to reflect that this strategy requires whole-of-system commitment from all stakeholders in the system. Importantly, Aboriginal and Torres Strait Islander children and young people are placed at the heart of the system to reflect the need for all system stakeholders to prioritise their needs and closing the gap in their life outcomes. All other stakeholders should collaborate and provide wrap-around supports to ensure they can grow up safe and cared for in family community and culture (the </w:t>
            </w:r>
            <w:r>
              <w:rPr>
                <w:i/>
                <w:sz w:val="17"/>
              </w:rPr>
              <w:t>Our </w:t>
            </w:r>
            <w:r>
              <w:rPr>
                <w:i/>
                <w:sz w:val="17"/>
              </w:rPr>
              <w:t>Way</w:t>
            </w:r>
            <w:r>
              <w:rPr>
                <w:i/>
                <w:spacing w:val="-1"/>
                <w:sz w:val="17"/>
              </w:rPr>
              <w:t> </w:t>
            </w:r>
            <w:r>
              <w:rPr>
                <w:sz w:val="17"/>
              </w:rPr>
              <w:t>vision).</w:t>
            </w:r>
          </w:p>
        </w:tc>
      </w:tr>
      <w:tr>
        <w:trPr>
          <w:trHeight w:val="1485" w:hRule="atLeast"/>
        </w:trPr>
        <w:tc>
          <w:tcPr>
            <w:tcW w:w="3549" w:type="dxa"/>
            <w:tcBorders>
              <w:top w:val="single" w:sz="4" w:space="0" w:color="000000"/>
              <w:bottom w:val="single" w:sz="4" w:space="0" w:color="000000"/>
            </w:tcBorders>
          </w:tcPr>
          <w:p>
            <w:pPr>
              <w:pStyle w:val="TableParagraph"/>
              <w:spacing w:before="90"/>
              <w:ind w:left="1291"/>
              <w:rPr>
                <w:b/>
                <w:sz w:val="17"/>
              </w:rPr>
            </w:pPr>
            <w:r>
              <w:rPr>
                <w:b/>
                <w:sz w:val="17"/>
              </w:rPr>
              <w:t>Our Way’s building</w:t>
            </w:r>
          </w:p>
          <w:p>
            <w:pPr>
              <w:pStyle w:val="TableParagraph"/>
              <w:spacing w:before="34"/>
              <w:ind w:left="1291"/>
              <w:rPr>
                <w:b/>
                <w:sz w:val="17"/>
              </w:rPr>
            </w:pPr>
            <w:r>
              <w:rPr>
                <w:b/>
                <w:sz w:val="17"/>
              </w:rPr>
              <w:t>blocks</w:t>
            </w:r>
          </w:p>
        </w:tc>
        <w:tc>
          <w:tcPr>
            <w:tcW w:w="5654" w:type="dxa"/>
            <w:tcBorders>
              <w:top w:val="single" w:sz="4" w:space="0" w:color="000000"/>
              <w:bottom w:val="single" w:sz="4" w:space="0" w:color="000000"/>
            </w:tcBorders>
          </w:tcPr>
          <w:p>
            <w:pPr>
              <w:pStyle w:val="TableParagraph"/>
              <w:spacing w:line="278" w:lineRule="auto" w:before="90"/>
              <w:ind w:left="68" w:right="213"/>
              <w:rPr>
                <w:sz w:val="17"/>
              </w:rPr>
            </w:pPr>
            <w:r>
              <w:rPr>
                <w:i/>
                <w:sz w:val="17"/>
              </w:rPr>
              <w:t>Our Way </w:t>
            </w:r>
            <w:r>
              <w:rPr>
                <w:sz w:val="17"/>
              </w:rPr>
              <w:t>is built on the Family Matters Building Blocks. Given that most stakeholders agree with the intent and vision of </w:t>
            </w:r>
            <w:r>
              <w:rPr>
                <w:i/>
                <w:sz w:val="17"/>
              </w:rPr>
              <w:t>Our </w:t>
            </w:r>
            <w:r>
              <w:rPr>
                <w:i/>
                <w:sz w:val="17"/>
              </w:rPr>
              <w:t>Way</w:t>
            </w:r>
            <w:r>
              <w:rPr>
                <w:sz w:val="17"/>
              </w:rPr>
              <w:t>, these building blocks were included in the Theory of Change to explain how key priority areas can support the achievement of outcomes included in these building blocks.</w:t>
            </w:r>
          </w:p>
        </w:tc>
      </w:tr>
    </w:tbl>
    <w:p>
      <w:pPr>
        <w:spacing w:before="45"/>
        <w:ind w:left="300" w:right="0" w:firstLine="0"/>
        <w:jc w:val="left"/>
        <w:rPr>
          <w:sz w:val="16"/>
        </w:rPr>
      </w:pPr>
      <w:r>
        <w:rPr/>
        <w:drawing>
          <wp:anchor distT="0" distB="0" distL="0" distR="0" allowOverlap="1" layoutInCell="1" locked="0" behindDoc="1" simplePos="0" relativeHeight="245185536">
            <wp:simplePos x="0" y="0"/>
            <wp:positionH relativeFrom="page">
              <wp:posOffset>982763</wp:posOffset>
            </wp:positionH>
            <wp:positionV relativeFrom="paragraph">
              <wp:posOffset>-865890</wp:posOffset>
            </wp:positionV>
            <wp:extent cx="644565" cy="637794"/>
            <wp:effectExtent l="0" t="0" r="0" b="0"/>
            <wp:wrapNone/>
            <wp:docPr id="57" name="image51.jpeg"/>
            <wp:cNvGraphicFramePr>
              <a:graphicFrameLocks noChangeAspect="1"/>
            </wp:cNvGraphicFramePr>
            <a:graphic>
              <a:graphicData uri="http://schemas.openxmlformats.org/drawingml/2006/picture">
                <pic:pic>
                  <pic:nvPicPr>
                    <pic:cNvPr id="58" name="image51.jpeg"/>
                    <pic:cNvPicPr/>
                  </pic:nvPicPr>
                  <pic:blipFill>
                    <a:blip r:embed="rId75" cstate="print"/>
                    <a:stretch>
                      <a:fillRect/>
                    </a:stretch>
                  </pic:blipFill>
                  <pic:spPr>
                    <a:xfrm>
                      <a:off x="0" y="0"/>
                      <a:ext cx="644565" cy="637794"/>
                    </a:xfrm>
                    <a:prstGeom prst="rect">
                      <a:avLst/>
                    </a:prstGeom>
                  </pic:spPr>
                </pic:pic>
              </a:graphicData>
            </a:graphic>
          </wp:anchor>
        </w:drawing>
      </w:r>
      <w:r>
        <w:rPr/>
        <w:pict>
          <v:shape style="position:absolute;margin-left:72pt;margin-top:-199.837036pt;width:57.7pt;height:56.35pt;mso-position-horizontal-relative:page;mso-position-vertical-relative:paragraph;z-index:-258128896" coordorigin="1440,-3997" coordsize="1154,1127" path="m1635,-3722l1627,-3722,1563,-3707,1511,-3666,1476,-3605,1463,-3531,1465,-3500,1471,-3470,1481,-3443,1495,-3418,1472,-3390,1455,-3357,1444,-3320,1440,-3280,1449,-3219,1474,-3166,1512,-3127,1560,-3103,1560,-3098,1560,-3092,1560,-3086,1574,-3002,1614,-2933,1673,-2887,1746,-2870,1818,-2886,1876,-2932,1916,-3000,1932,-3083,2179,-3083,2191,-3099,2515,-3099,2517,-3113,2517,-3132,2514,-3150,2511,-3167,2506,-3184,2542,-3213,2570,-3253,2588,-3300,2594,-3353,2586,-3411,2565,-3461,2531,-3502,2489,-3530,2491,-3541,2493,-3553,2494,-3565,2495,-3578,2482,-3651,2447,-3712,2434,-3721,1639,-3721,1635,-3722xm2515,-3099l2191,-3099,2207,-3030,2242,-2975,2293,-2937,2354,-2924,2417,-2938,2469,-2979,2505,-3039,2515,-3099xm2179,-3083l1932,-3083,1956,-3053,1986,-3030,2020,-3016,2056,-3011,2098,-3017,2135,-3035,2166,-3063,2179,-3083xm1838,-3887l1772,-3874,1714,-3840,1669,-3788,1639,-3721,2434,-3721,2395,-3752,2348,-3763,2297,-3763,2298,-3770,2298,-3776,2298,-3782,2285,-3857,1939,-3857,1916,-3869,1891,-3879,1865,-3885,1838,-3887xm2331,-3767l2319,-3767,2308,-3766,2297,-3763,2348,-3763,2331,-3767xm2113,-3997l2056,-3986,2006,-3957,1966,-3913,1939,-3857,2285,-3857,2283,-3866,2244,-3934,2185,-3980,2113,-3997xe" filled="true" fillcolor="#acadaf" stroked="false">
            <v:path arrowok="t"/>
            <v:fill type="solid"/>
            <w10:wrap type="none"/>
          </v:shape>
        </w:pict>
      </w:r>
      <w:r>
        <w:rPr>
          <w:color w:val="75787A"/>
          <w:sz w:val="16"/>
        </w:rPr>
        <w:t>Source: Deloitte Access Economics</w:t>
      </w:r>
    </w:p>
    <w:p>
      <w:pPr>
        <w:spacing w:after="0"/>
        <w:jc w:val="left"/>
        <w:rPr>
          <w:sz w:val="16"/>
        </w:rPr>
        <w:sectPr>
          <w:pgSz w:w="11910" w:h="16840"/>
          <w:pgMar w:header="650" w:footer="420" w:top="1340" w:bottom="620" w:left="1140" w:right="700"/>
        </w:sectPr>
      </w:pPr>
    </w:p>
    <w:p>
      <w:pPr>
        <w:spacing w:before="73"/>
        <w:ind w:left="100" w:right="0" w:firstLine="0"/>
        <w:jc w:val="left"/>
        <w:rPr>
          <w:i/>
          <w:sz w:val="14"/>
        </w:rPr>
      </w:pPr>
      <w:r>
        <w:rPr>
          <w:i/>
          <w:sz w:val="14"/>
        </w:rPr>
        <w:t>Our Way Changing Tracks – Final report</w:t>
      </w:r>
    </w:p>
    <w:p>
      <w:pPr>
        <w:pStyle w:val="BodyText"/>
        <w:rPr>
          <w:i/>
          <w:sz w:val="20"/>
        </w:rPr>
      </w:pPr>
    </w:p>
    <w:p>
      <w:pPr>
        <w:pStyle w:val="BodyText"/>
        <w:rPr>
          <w:i/>
          <w:sz w:val="23"/>
        </w:rPr>
      </w:pPr>
    </w:p>
    <w:p>
      <w:pPr>
        <w:spacing w:before="101"/>
        <w:ind w:left="1029" w:right="0" w:firstLine="0"/>
        <w:jc w:val="left"/>
        <w:rPr>
          <w:sz w:val="17"/>
        </w:rPr>
      </w:pPr>
      <w:r>
        <w:rPr/>
        <w:drawing>
          <wp:anchor distT="0" distB="0" distL="0" distR="0" allowOverlap="1" layoutInCell="1" locked="0" behindDoc="0" simplePos="0" relativeHeight="251800576">
            <wp:simplePos x="0" y="0"/>
            <wp:positionH relativeFrom="page">
              <wp:posOffset>925087</wp:posOffset>
            </wp:positionH>
            <wp:positionV relativeFrom="paragraph">
              <wp:posOffset>93328</wp:posOffset>
            </wp:positionV>
            <wp:extent cx="537190" cy="104228"/>
            <wp:effectExtent l="0" t="0" r="0" b="0"/>
            <wp:wrapNone/>
            <wp:docPr id="59" name="image52.png"/>
            <wp:cNvGraphicFramePr>
              <a:graphicFrameLocks noChangeAspect="1"/>
            </wp:cNvGraphicFramePr>
            <a:graphic>
              <a:graphicData uri="http://schemas.openxmlformats.org/drawingml/2006/picture">
                <pic:pic>
                  <pic:nvPicPr>
                    <pic:cNvPr id="60" name="image52.png"/>
                    <pic:cNvPicPr/>
                  </pic:nvPicPr>
                  <pic:blipFill>
                    <a:blip r:embed="rId78" cstate="print"/>
                    <a:stretch>
                      <a:fillRect/>
                    </a:stretch>
                  </pic:blipFill>
                  <pic:spPr>
                    <a:xfrm>
                      <a:off x="0" y="0"/>
                      <a:ext cx="537190" cy="104228"/>
                    </a:xfrm>
                    <a:prstGeom prst="rect">
                      <a:avLst/>
                    </a:prstGeom>
                  </pic:spPr>
                </pic:pic>
              </a:graphicData>
            </a:graphic>
          </wp:anchor>
        </w:drawing>
      </w:r>
      <w:bookmarkStart w:name="_bookmark90" w:id="146"/>
      <w:bookmarkEnd w:id="146"/>
      <w:r>
        <w:rPr/>
      </w:r>
      <w:r>
        <w:rPr>
          <w:color w:val="75787A"/>
          <w:sz w:val="17"/>
        </w:rPr>
        <w:t>The </w:t>
      </w:r>
      <w:r>
        <w:rPr>
          <w:i/>
          <w:color w:val="75787A"/>
          <w:sz w:val="17"/>
        </w:rPr>
        <w:t>Our Way </w:t>
      </w:r>
      <w:r>
        <w:rPr>
          <w:color w:val="75787A"/>
          <w:sz w:val="17"/>
        </w:rPr>
        <w:t>Theory of Change</w:t>
      </w:r>
    </w:p>
    <w:p>
      <w:pPr>
        <w:spacing w:after="0"/>
        <w:jc w:val="left"/>
        <w:rPr>
          <w:sz w:val="17"/>
        </w:rPr>
        <w:sectPr>
          <w:headerReference w:type="default" r:id="rId76"/>
          <w:footerReference w:type="default" r:id="rId77"/>
          <w:pgSz w:w="16840" w:h="11910" w:orient="landscape"/>
          <w:pgMar w:header="0" w:footer="420" w:top="600" w:bottom="620" w:left="1340" w:right="2420"/>
        </w:sectPr>
      </w:pPr>
    </w:p>
    <w:p>
      <w:pPr>
        <w:pStyle w:val="Heading2"/>
        <w:numPr>
          <w:ilvl w:val="1"/>
          <w:numId w:val="24"/>
        </w:numPr>
        <w:tabs>
          <w:tab w:pos="894" w:val="left" w:leader="none"/>
          <w:tab w:pos="895" w:val="left" w:leader="none"/>
        </w:tabs>
        <w:spacing w:line="240" w:lineRule="auto" w:before="153" w:after="0"/>
        <w:ind w:left="894" w:right="0" w:hanging="795"/>
        <w:jc w:val="left"/>
      </w:pPr>
      <w:bookmarkStart w:name="_bookmark91" w:id="147"/>
      <w:bookmarkEnd w:id="147"/>
      <w:r>
        <w:rPr>
          <w:b w:val="0"/>
        </w:rPr>
      </w:r>
      <w:bookmarkStart w:name="_bookmark91" w:id="148"/>
      <w:bookmarkEnd w:id="148"/>
      <w:r>
        <w:rPr>
          <w:color w:val="61B5E4"/>
        </w:rPr>
        <w:t>P</w:t>
      </w:r>
      <w:r>
        <w:rPr>
          <w:color w:val="61B5E4"/>
        </w:rPr>
        <w:t>rogram logic</w:t>
      </w:r>
      <w:r>
        <w:rPr>
          <w:color w:val="61B5E4"/>
          <w:spacing w:val="-5"/>
        </w:rPr>
        <w:t> </w:t>
      </w:r>
      <w:r>
        <w:rPr>
          <w:color w:val="61B5E4"/>
        </w:rPr>
        <w:t>model</w:t>
      </w:r>
    </w:p>
    <w:p>
      <w:pPr>
        <w:pStyle w:val="Heading4"/>
        <w:numPr>
          <w:ilvl w:val="2"/>
          <w:numId w:val="24"/>
        </w:numPr>
        <w:tabs>
          <w:tab w:pos="1120" w:val="left" w:leader="none"/>
          <w:tab w:pos="1121" w:val="left" w:leader="none"/>
        </w:tabs>
        <w:spacing w:line="240" w:lineRule="auto" w:before="20" w:after="0"/>
        <w:ind w:left="1120" w:right="0" w:hanging="1021"/>
        <w:jc w:val="left"/>
      </w:pPr>
      <w:bookmarkStart w:name="_bookmark92" w:id="149"/>
      <w:bookmarkEnd w:id="149"/>
      <w:r>
        <w:rPr>
          <w:b w:val="0"/>
        </w:rPr>
      </w:r>
      <w:bookmarkStart w:name="_bookmark92" w:id="150"/>
      <w:bookmarkEnd w:id="150"/>
      <w:r>
        <w:rPr/>
        <w:t>De</w:t>
      </w:r>
      <w:r>
        <w:rPr/>
        <w:t>finition</w:t>
      </w:r>
    </w:p>
    <w:p>
      <w:pPr>
        <w:pStyle w:val="BodyText"/>
        <w:spacing w:line="264" w:lineRule="auto" w:before="21"/>
        <w:ind w:left="100" w:right="323"/>
      </w:pPr>
      <w:r>
        <w:rPr/>
        <w:t>A program logic model operationalises the Theory of Change by describing the </w:t>
      </w:r>
      <w:r>
        <w:rPr>
          <w:i/>
        </w:rPr>
        <w:t>inputs </w:t>
      </w:r>
      <w:r>
        <w:rPr/>
        <w:t>required to undertake </w:t>
      </w:r>
      <w:r>
        <w:rPr>
          <w:i/>
        </w:rPr>
        <w:t>activities </w:t>
      </w:r>
      <w:r>
        <w:rPr/>
        <w:t>that will produce tangible </w:t>
      </w:r>
      <w:r>
        <w:rPr>
          <w:i/>
        </w:rPr>
        <w:t>outputs </w:t>
      </w:r>
      <w:r>
        <w:rPr/>
        <w:t>and contribute towards the attainment of short-, medium- and long-term </w:t>
      </w:r>
      <w:r>
        <w:rPr>
          <w:i/>
        </w:rPr>
        <w:t>outcomes</w:t>
      </w:r>
      <w:r>
        <w:rPr/>
        <w:t>.</w:t>
      </w:r>
    </w:p>
    <w:p>
      <w:pPr>
        <w:pStyle w:val="Heading4"/>
        <w:numPr>
          <w:ilvl w:val="2"/>
          <w:numId w:val="24"/>
        </w:numPr>
        <w:tabs>
          <w:tab w:pos="1120" w:val="left" w:leader="none"/>
          <w:tab w:pos="1121" w:val="left" w:leader="none"/>
        </w:tabs>
        <w:spacing w:line="240" w:lineRule="auto" w:before="168" w:after="0"/>
        <w:ind w:left="1120" w:right="0" w:hanging="1021"/>
        <w:jc w:val="left"/>
      </w:pPr>
      <w:bookmarkStart w:name="_bookmark93" w:id="151"/>
      <w:bookmarkEnd w:id="151"/>
      <w:r>
        <w:rPr>
          <w:b w:val="0"/>
        </w:rPr>
      </w:r>
      <w:bookmarkStart w:name="_bookmark93" w:id="152"/>
      <w:bookmarkEnd w:id="152"/>
      <w:r>
        <w:rPr/>
        <w:t>C</w:t>
      </w:r>
      <w:r>
        <w:rPr/>
        <w:t>ontext on the development of program logic</w:t>
      </w:r>
      <w:r>
        <w:rPr>
          <w:spacing w:val="-6"/>
        </w:rPr>
        <w:t> </w:t>
      </w:r>
      <w:r>
        <w:rPr/>
        <w:t>model</w:t>
      </w:r>
    </w:p>
    <w:p>
      <w:pPr>
        <w:pStyle w:val="BodyText"/>
        <w:spacing w:line="264" w:lineRule="auto" w:before="22"/>
        <w:ind w:left="100" w:right="708"/>
      </w:pPr>
      <w:r>
        <w:rPr/>
        <w:t>The first phase of the evaluation identified the need to develop a system-level program logic model. The program logic model aims to:</w:t>
      </w:r>
    </w:p>
    <w:p>
      <w:pPr>
        <w:pStyle w:val="ListParagraph"/>
        <w:numPr>
          <w:ilvl w:val="0"/>
          <w:numId w:val="49"/>
        </w:numPr>
        <w:tabs>
          <w:tab w:pos="460" w:val="left" w:leader="none"/>
          <w:tab w:pos="461" w:val="left" w:leader="none"/>
        </w:tabs>
        <w:spacing w:line="240" w:lineRule="auto" w:before="169" w:after="0"/>
        <w:ind w:left="460" w:right="0" w:hanging="361"/>
        <w:jc w:val="left"/>
        <w:rPr>
          <w:i/>
          <w:sz w:val="18"/>
        </w:rPr>
      </w:pPr>
      <w:r>
        <w:rPr>
          <w:sz w:val="18"/>
        </w:rPr>
        <w:t>influence and inform the design and implementation of </w:t>
      </w:r>
      <w:r>
        <w:rPr>
          <w:i/>
          <w:sz w:val="18"/>
        </w:rPr>
        <w:t>Breaking</w:t>
      </w:r>
      <w:r>
        <w:rPr>
          <w:i/>
          <w:spacing w:val="-11"/>
          <w:sz w:val="18"/>
        </w:rPr>
        <w:t> </w:t>
      </w:r>
      <w:r>
        <w:rPr>
          <w:i/>
          <w:sz w:val="18"/>
        </w:rPr>
        <w:t>Cycles</w:t>
      </w:r>
    </w:p>
    <w:p>
      <w:pPr>
        <w:pStyle w:val="ListParagraph"/>
        <w:numPr>
          <w:ilvl w:val="0"/>
          <w:numId w:val="49"/>
        </w:numPr>
        <w:tabs>
          <w:tab w:pos="460" w:val="left" w:leader="none"/>
          <w:tab w:pos="461" w:val="left" w:leader="none"/>
        </w:tabs>
        <w:spacing w:line="261" w:lineRule="auto" w:before="19" w:after="0"/>
        <w:ind w:left="460" w:right="496" w:hanging="360"/>
        <w:jc w:val="left"/>
        <w:rPr>
          <w:i/>
          <w:sz w:val="18"/>
        </w:rPr>
      </w:pPr>
      <w:r>
        <w:rPr>
          <w:sz w:val="18"/>
        </w:rPr>
        <w:t>outline key outcomes that future evaluations can continue tracking to measure the success and implementation progress of </w:t>
      </w:r>
      <w:r>
        <w:rPr>
          <w:i/>
          <w:sz w:val="18"/>
        </w:rPr>
        <w:t>Our</w:t>
      </w:r>
      <w:r>
        <w:rPr>
          <w:i/>
          <w:spacing w:val="-6"/>
          <w:sz w:val="18"/>
        </w:rPr>
        <w:t> </w:t>
      </w:r>
      <w:r>
        <w:rPr>
          <w:i/>
          <w:sz w:val="18"/>
        </w:rPr>
        <w:t>Way</w:t>
      </w:r>
    </w:p>
    <w:p>
      <w:pPr>
        <w:pStyle w:val="ListParagraph"/>
        <w:numPr>
          <w:ilvl w:val="0"/>
          <w:numId w:val="49"/>
        </w:numPr>
        <w:tabs>
          <w:tab w:pos="460" w:val="left" w:leader="none"/>
          <w:tab w:pos="461" w:val="left" w:leader="none"/>
        </w:tabs>
        <w:spacing w:line="444" w:lineRule="auto" w:before="1" w:after="0"/>
        <w:ind w:left="100" w:right="1146" w:firstLine="0"/>
        <w:jc w:val="left"/>
        <w:rPr>
          <w:sz w:val="18"/>
        </w:rPr>
      </w:pPr>
      <w:r>
        <w:rPr>
          <w:sz w:val="18"/>
        </w:rPr>
        <w:t>support the development of a whole-of-system approach to implementing </w:t>
      </w:r>
      <w:r>
        <w:rPr>
          <w:i/>
          <w:sz w:val="18"/>
        </w:rPr>
        <w:t>Our Way</w:t>
      </w:r>
      <w:r>
        <w:rPr>
          <w:sz w:val="18"/>
        </w:rPr>
        <w:t>. In reviewing this program logic model, it is important to consider the following</w:t>
      </w:r>
      <w:r>
        <w:rPr>
          <w:spacing w:val="-28"/>
          <w:sz w:val="18"/>
        </w:rPr>
        <w:t> </w:t>
      </w:r>
      <w:r>
        <w:rPr>
          <w:sz w:val="18"/>
        </w:rPr>
        <w:t>aspects:</w:t>
      </w:r>
    </w:p>
    <w:p>
      <w:pPr>
        <w:pStyle w:val="ListParagraph"/>
        <w:numPr>
          <w:ilvl w:val="0"/>
          <w:numId w:val="49"/>
        </w:numPr>
        <w:tabs>
          <w:tab w:pos="460" w:val="left" w:leader="none"/>
          <w:tab w:pos="461" w:val="left" w:leader="none"/>
        </w:tabs>
        <w:spacing w:line="261" w:lineRule="auto" w:before="7" w:after="0"/>
        <w:ind w:left="460" w:right="202" w:hanging="360"/>
        <w:jc w:val="left"/>
        <w:rPr>
          <w:sz w:val="18"/>
        </w:rPr>
      </w:pPr>
      <w:r>
        <w:rPr>
          <w:b/>
          <w:sz w:val="18"/>
        </w:rPr>
        <w:t>The timeframes of </w:t>
      </w:r>
      <w:r>
        <w:rPr>
          <w:b/>
          <w:i/>
          <w:sz w:val="18"/>
        </w:rPr>
        <w:t>Our Way</w:t>
      </w:r>
      <w:r>
        <w:rPr>
          <w:sz w:val="18"/>
        </w:rPr>
        <w:t>. </w:t>
      </w:r>
      <w:r>
        <w:rPr>
          <w:i/>
          <w:sz w:val="18"/>
        </w:rPr>
        <w:t>Changing Tracks </w:t>
      </w:r>
      <w:r>
        <w:rPr>
          <w:sz w:val="18"/>
        </w:rPr>
        <w:t>is the first step in this inter-generational 20- year strategy (se</w:t>
      </w:r>
      <w:hyperlink w:history="true" w:anchor="_bookmark94">
        <w:r>
          <w:rPr>
            <w:sz w:val="18"/>
          </w:rPr>
          <w:t>e Figure 6.3</w:t>
        </w:r>
      </w:hyperlink>
      <w:r>
        <w:rPr>
          <w:sz w:val="18"/>
        </w:rPr>
        <w:t>). This system-level program logic model is therefore intended to provide high-level guidance on key focus areas for the remaining five action plans. There is therefore less specificity on inputs and outputs. It is expected that a more detailed program logic model will be developed alongside each action plan once specific actions are</w:t>
      </w:r>
      <w:r>
        <w:rPr>
          <w:spacing w:val="-20"/>
          <w:sz w:val="18"/>
        </w:rPr>
        <w:t> </w:t>
      </w:r>
      <w:r>
        <w:rPr>
          <w:sz w:val="18"/>
        </w:rPr>
        <w:t>finalised.</w:t>
      </w:r>
    </w:p>
    <w:p>
      <w:pPr>
        <w:pStyle w:val="ListParagraph"/>
        <w:numPr>
          <w:ilvl w:val="0"/>
          <w:numId w:val="49"/>
        </w:numPr>
        <w:tabs>
          <w:tab w:pos="460" w:val="left" w:leader="none"/>
          <w:tab w:pos="461" w:val="left" w:leader="none"/>
        </w:tabs>
        <w:spacing w:line="261" w:lineRule="auto" w:before="6" w:after="0"/>
        <w:ind w:left="460" w:right="262" w:hanging="360"/>
        <w:jc w:val="left"/>
        <w:rPr>
          <w:sz w:val="18"/>
        </w:rPr>
      </w:pPr>
      <w:r>
        <w:rPr>
          <w:b/>
          <w:sz w:val="18"/>
        </w:rPr>
        <w:t>The system-level approach to developing this program logic</w:t>
      </w:r>
      <w:r>
        <w:rPr>
          <w:sz w:val="18"/>
        </w:rPr>
        <w:t>. This program logic model takes a systems view of the positive systemic changes that need to occur for </w:t>
      </w:r>
      <w:r>
        <w:rPr>
          <w:i/>
          <w:sz w:val="18"/>
        </w:rPr>
        <w:t>Our Way </w:t>
      </w:r>
      <w:r>
        <w:rPr>
          <w:sz w:val="18"/>
        </w:rPr>
        <w:t>objectives to be attained. It therefore incorporates indicators related to system-level</w:t>
      </w:r>
      <w:r>
        <w:rPr>
          <w:spacing w:val="-31"/>
          <w:sz w:val="18"/>
        </w:rPr>
        <w:t> </w:t>
      </w:r>
      <w:r>
        <w:rPr>
          <w:sz w:val="18"/>
        </w:rPr>
        <w:t>changes</w:t>
      </w:r>
    </w:p>
    <w:p>
      <w:pPr>
        <w:pStyle w:val="BodyText"/>
        <w:spacing w:line="264" w:lineRule="auto" w:before="2"/>
        <w:ind w:left="460" w:right="505"/>
      </w:pPr>
      <w:r>
        <w:rPr/>
        <w:t>– such as commitment to the strategy and the extent to which key players collaborate and implement key actions that are aligned with </w:t>
      </w:r>
      <w:r>
        <w:rPr>
          <w:i/>
        </w:rPr>
        <w:t>Our Way’s </w:t>
      </w:r>
      <w:r>
        <w:rPr/>
        <w:t>shared goals.</w:t>
      </w:r>
    </w:p>
    <w:p>
      <w:pPr>
        <w:pStyle w:val="ListParagraph"/>
        <w:numPr>
          <w:ilvl w:val="0"/>
          <w:numId w:val="49"/>
        </w:numPr>
        <w:tabs>
          <w:tab w:pos="460" w:val="left" w:leader="none"/>
          <w:tab w:pos="461" w:val="left" w:leader="none"/>
        </w:tabs>
        <w:spacing w:line="261" w:lineRule="auto" w:before="0" w:after="0"/>
        <w:ind w:left="460" w:right="378" w:hanging="360"/>
        <w:jc w:val="left"/>
        <w:rPr>
          <w:sz w:val="18"/>
        </w:rPr>
      </w:pPr>
      <w:r>
        <w:rPr>
          <w:b/>
          <w:sz w:val="18"/>
        </w:rPr>
        <w:t>The co-design approach adopted</w:t>
      </w:r>
      <w:r>
        <w:rPr>
          <w:sz w:val="18"/>
        </w:rPr>
        <w:t>. This program logic model has importantly been developed through engagement with key system stakeholders, including government stakeholders, Aboriginal and Torres Strait Islander leaders, representatives from ACCOs and Aboriginal and Torres Strait Islander community</w:t>
      </w:r>
      <w:r>
        <w:rPr>
          <w:spacing w:val="-7"/>
          <w:sz w:val="18"/>
        </w:rPr>
        <w:t> </w:t>
      </w:r>
      <w:r>
        <w:rPr>
          <w:sz w:val="18"/>
        </w:rPr>
        <w:t>members.</w:t>
      </w:r>
    </w:p>
    <w:p>
      <w:pPr>
        <w:spacing w:before="187"/>
        <w:ind w:left="116" w:right="0" w:firstLine="0"/>
        <w:jc w:val="left"/>
        <w:rPr>
          <w:sz w:val="17"/>
        </w:rPr>
      </w:pPr>
      <w:r>
        <w:rPr>
          <w:position w:val="-3"/>
        </w:rPr>
        <w:drawing>
          <wp:inline distT="0" distB="0" distL="0" distR="0">
            <wp:extent cx="535679" cy="104228"/>
            <wp:effectExtent l="0" t="0" r="0" b="0"/>
            <wp:docPr id="61" name="image53.png"/>
            <wp:cNvGraphicFramePr>
              <a:graphicFrameLocks noChangeAspect="1"/>
            </wp:cNvGraphicFramePr>
            <a:graphic>
              <a:graphicData uri="http://schemas.openxmlformats.org/drawingml/2006/picture">
                <pic:pic>
                  <pic:nvPicPr>
                    <pic:cNvPr id="62" name="image53.png"/>
                    <pic:cNvPicPr/>
                  </pic:nvPicPr>
                  <pic:blipFill>
                    <a:blip r:embed="rId81" cstate="print"/>
                    <a:stretch>
                      <a:fillRect/>
                    </a:stretch>
                  </pic:blipFill>
                  <pic:spPr>
                    <a:xfrm>
                      <a:off x="0" y="0"/>
                      <a:ext cx="535679" cy="104228"/>
                    </a:xfrm>
                    <a:prstGeom prst="rect">
                      <a:avLst/>
                    </a:prstGeom>
                  </pic:spPr>
                </pic:pic>
              </a:graphicData>
            </a:graphic>
          </wp:inline>
        </w:drawing>
      </w:r>
      <w:r>
        <w:rPr>
          <w:position w:val="-3"/>
        </w:rPr>
      </w:r>
      <w:r>
        <w:rPr>
          <w:rFonts w:ascii="Times New Roman"/>
          <w:spacing w:val="18"/>
          <w:sz w:val="20"/>
        </w:rPr>
        <w:t> </w:t>
      </w:r>
      <w:bookmarkStart w:name="_bookmark94" w:id="153"/>
      <w:bookmarkEnd w:id="153"/>
      <w:r>
        <w:rPr>
          <w:rFonts w:ascii="Times New Roman"/>
          <w:spacing w:val="18"/>
          <w:sz w:val="20"/>
        </w:rPr>
      </w:r>
      <w:r>
        <w:rPr>
          <w:i/>
          <w:color w:val="75787A"/>
          <w:sz w:val="17"/>
        </w:rPr>
        <w:t>Our Way</w:t>
      </w:r>
      <w:r>
        <w:rPr>
          <w:i/>
          <w:color w:val="75787A"/>
          <w:spacing w:val="-1"/>
          <w:sz w:val="17"/>
        </w:rPr>
        <w:t> </w:t>
      </w:r>
      <w:r>
        <w:rPr>
          <w:color w:val="75787A"/>
          <w:sz w:val="17"/>
        </w:rPr>
        <w:t>timelines</w:t>
      </w:r>
    </w:p>
    <w:p>
      <w:pPr>
        <w:pStyle w:val="BodyText"/>
        <w:spacing w:before="1"/>
        <w:rPr>
          <w:sz w:val="12"/>
        </w:rPr>
      </w:pPr>
      <w:r>
        <w:rPr/>
        <w:drawing>
          <wp:anchor distT="0" distB="0" distL="0" distR="0" allowOverlap="1" layoutInCell="1" locked="0" behindDoc="0" simplePos="0" relativeHeight="140">
            <wp:simplePos x="0" y="0"/>
            <wp:positionH relativeFrom="page">
              <wp:posOffset>973285</wp:posOffset>
            </wp:positionH>
            <wp:positionV relativeFrom="paragraph">
              <wp:posOffset>118359</wp:posOffset>
            </wp:positionV>
            <wp:extent cx="5653918" cy="2518791"/>
            <wp:effectExtent l="0" t="0" r="0" b="0"/>
            <wp:wrapTopAndBottom/>
            <wp:docPr id="63" name="image54.png"/>
            <wp:cNvGraphicFramePr>
              <a:graphicFrameLocks noChangeAspect="1"/>
            </wp:cNvGraphicFramePr>
            <a:graphic>
              <a:graphicData uri="http://schemas.openxmlformats.org/drawingml/2006/picture">
                <pic:pic>
                  <pic:nvPicPr>
                    <pic:cNvPr id="64" name="image54.png"/>
                    <pic:cNvPicPr/>
                  </pic:nvPicPr>
                  <pic:blipFill>
                    <a:blip r:embed="rId82" cstate="print"/>
                    <a:stretch>
                      <a:fillRect/>
                    </a:stretch>
                  </pic:blipFill>
                  <pic:spPr>
                    <a:xfrm>
                      <a:off x="0" y="0"/>
                      <a:ext cx="5653918" cy="2518791"/>
                    </a:xfrm>
                    <a:prstGeom prst="rect">
                      <a:avLst/>
                    </a:prstGeom>
                  </pic:spPr>
                </pic:pic>
              </a:graphicData>
            </a:graphic>
          </wp:anchor>
        </w:drawing>
      </w:r>
    </w:p>
    <w:p>
      <w:pPr>
        <w:spacing w:before="26"/>
        <w:ind w:left="100" w:right="0" w:firstLine="0"/>
        <w:jc w:val="left"/>
        <w:rPr>
          <w:sz w:val="16"/>
        </w:rPr>
      </w:pPr>
      <w:r>
        <w:rPr>
          <w:color w:val="75787A"/>
          <w:sz w:val="16"/>
        </w:rPr>
        <w:t>Source: Deloitte Access Economics</w:t>
      </w:r>
    </w:p>
    <w:p>
      <w:pPr>
        <w:pStyle w:val="BodyText"/>
        <w:spacing w:before="6"/>
        <w:rPr>
          <w:sz w:val="15"/>
        </w:rPr>
      </w:pPr>
    </w:p>
    <w:p>
      <w:pPr>
        <w:pStyle w:val="BodyText"/>
        <w:spacing w:line="264" w:lineRule="auto"/>
        <w:ind w:left="100" w:right="439"/>
      </w:pPr>
      <w:r>
        <w:rPr/>
        <w:t>The full system-level program logic model is described in </w:t>
      </w:r>
      <w:hyperlink w:history="true" w:anchor="_bookmark96">
        <w:r>
          <w:rPr/>
          <w:t>Figure 6.4</w:t>
        </w:r>
      </w:hyperlink>
      <w:r>
        <w:rPr/>
        <w:t>. It consists of the following components:</w:t>
      </w:r>
    </w:p>
    <w:p>
      <w:pPr>
        <w:pStyle w:val="ListParagraph"/>
        <w:numPr>
          <w:ilvl w:val="0"/>
          <w:numId w:val="50"/>
        </w:numPr>
        <w:tabs>
          <w:tab w:pos="461" w:val="left" w:leader="none"/>
        </w:tabs>
        <w:spacing w:line="264" w:lineRule="auto" w:before="169" w:after="0"/>
        <w:ind w:left="460" w:right="117" w:hanging="360"/>
        <w:jc w:val="left"/>
        <w:rPr>
          <w:sz w:val="18"/>
        </w:rPr>
      </w:pPr>
      <w:r>
        <w:rPr>
          <w:b/>
          <w:sz w:val="18"/>
        </w:rPr>
        <w:t>Guidance on activities and outputs – </w:t>
      </w:r>
      <w:r>
        <w:rPr>
          <w:sz w:val="18"/>
        </w:rPr>
        <w:t>The four key priority areas articulated in this program logic model is consistent with the Theory of Change. These areas are intended to guide and influence the design of specific actions in the remaining action plans. It is expected that</w:t>
      </w:r>
      <w:r>
        <w:rPr>
          <w:spacing w:val="-28"/>
          <w:sz w:val="18"/>
        </w:rPr>
        <w:t> </w:t>
      </w:r>
      <w:r>
        <w:rPr>
          <w:sz w:val="18"/>
        </w:rPr>
        <w:t>action</w:t>
      </w:r>
    </w:p>
    <w:p>
      <w:pPr>
        <w:spacing w:after="0" w:line="264" w:lineRule="auto"/>
        <w:jc w:val="left"/>
        <w:rPr>
          <w:sz w:val="18"/>
        </w:rPr>
        <w:sectPr>
          <w:headerReference w:type="default" r:id="rId79"/>
          <w:footerReference w:type="default" r:id="rId80"/>
          <w:pgSz w:w="11910" w:h="16840"/>
          <w:pgMar w:header="650" w:footer="420" w:top="1360" w:bottom="620" w:left="1340" w:right="1340"/>
          <w:pgNumType w:start="59"/>
        </w:sectPr>
      </w:pPr>
    </w:p>
    <w:p>
      <w:pPr>
        <w:pStyle w:val="BodyText"/>
        <w:spacing w:line="264" w:lineRule="auto" w:before="90"/>
        <w:ind w:left="460" w:right="439"/>
      </w:pPr>
      <w:r>
        <w:rPr/>
        <w:t>plan-specific program logic models would provide greater detail on specific actions and how they are linked with these key reform areas.</w:t>
      </w:r>
    </w:p>
    <w:p>
      <w:pPr>
        <w:pStyle w:val="ListParagraph"/>
        <w:numPr>
          <w:ilvl w:val="0"/>
          <w:numId w:val="50"/>
        </w:numPr>
        <w:tabs>
          <w:tab w:pos="461" w:val="left" w:leader="none"/>
        </w:tabs>
        <w:spacing w:line="264" w:lineRule="auto" w:before="0" w:after="0"/>
        <w:ind w:left="460" w:right="299" w:hanging="360"/>
        <w:jc w:val="left"/>
        <w:rPr>
          <w:sz w:val="18"/>
        </w:rPr>
      </w:pPr>
      <w:r>
        <w:rPr>
          <w:b/>
          <w:sz w:val="18"/>
        </w:rPr>
        <w:t>Short and medium-term outcomes – </w:t>
      </w:r>
      <w:r>
        <w:rPr>
          <w:sz w:val="18"/>
        </w:rPr>
        <w:t>The program logic model outcomes reflect the types of outcomes that are expected to be achieved following the implementation of the remaining five action plans in the next fifteen years. These outcomes are categorised into four main categories:</w:t>
      </w:r>
    </w:p>
    <w:p>
      <w:pPr>
        <w:pStyle w:val="ListParagraph"/>
        <w:numPr>
          <w:ilvl w:val="1"/>
          <w:numId w:val="50"/>
        </w:numPr>
        <w:tabs>
          <w:tab w:pos="1181" w:val="left" w:leader="none"/>
        </w:tabs>
        <w:spacing w:line="264" w:lineRule="auto" w:before="0" w:after="0"/>
        <w:ind w:left="1180" w:right="297" w:hanging="360"/>
        <w:jc w:val="left"/>
        <w:rPr>
          <w:sz w:val="18"/>
        </w:rPr>
      </w:pPr>
      <w:r>
        <w:rPr>
          <w:b/>
          <w:sz w:val="18"/>
        </w:rPr>
        <w:t>The life outcomes of Aboriginal and Torres Strait Islander children</w:t>
      </w:r>
      <w:r>
        <w:rPr>
          <w:sz w:val="18"/>
        </w:rPr>
        <w:t>. The list of outcomes is aligned with the domains included in the WOF and Queensland’s Closing the Gap implementation plan</w:t>
      </w:r>
      <w:r>
        <w:rPr>
          <w:position w:val="6"/>
          <w:sz w:val="12"/>
        </w:rPr>
        <w:t>17</w:t>
      </w:r>
      <w:r>
        <w:rPr>
          <w:sz w:val="18"/>
        </w:rPr>
        <w:t>. It also reflects stakeholder feedback that system stakeholders need to collectively address socioeconomic determinants which can prevent Aboriginal and Torres Strait Islander children from entering the child protection</w:t>
      </w:r>
      <w:r>
        <w:rPr>
          <w:spacing w:val="-1"/>
          <w:sz w:val="18"/>
        </w:rPr>
        <w:t> </w:t>
      </w:r>
      <w:r>
        <w:rPr>
          <w:sz w:val="18"/>
        </w:rPr>
        <w:t>system.</w:t>
      </w:r>
    </w:p>
    <w:p>
      <w:pPr>
        <w:pStyle w:val="ListParagraph"/>
        <w:numPr>
          <w:ilvl w:val="1"/>
          <w:numId w:val="50"/>
        </w:numPr>
        <w:tabs>
          <w:tab w:pos="1181" w:val="left" w:leader="none"/>
        </w:tabs>
        <w:spacing w:line="264" w:lineRule="auto" w:before="0" w:after="0"/>
        <w:ind w:left="1180" w:right="152" w:hanging="360"/>
        <w:jc w:val="left"/>
        <w:rPr>
          <w:sz w:val="18"/>
        </w:rPr>
      </w:pPr>
      <w:r>
        <w:rPr>
          <w:b/>
          <w:sz w:val="18"/>
        </w:rPr>
        <w:t>The sustainable development of the community-controlled sector. </w:t>
      </w:r>
      <w:r>
        <w:rPr>
          <w:sz w:val="18"/>
        </w:rPr>
        <w:t>A key aspect underpinning </w:t>
      </w:r>
      <w:r>
        <w:rPr>
          <w:i/>
          <w:sz w:val="18"/>
        </w:rPr>
        <w:t>Our Way’s </w:t>
      </w:r>
      <w:r>
        <w:rPr>
          <w:sz w:val="18"/>
        </w:rPr>
        <w:t>transformational change is the transition of decision making and responsibilities to the community-controlled sector. Each action plan is therefore expected to include actions which would strengthen the capability and capacity of the community-controlled</w:t>
      </w:r>
      <w:r>
        <w:rPr>
          <w:spacing w:val="-2"/>
          <w:sz w:val="18"/>
        </w:rPr>
        <w:t> </w:t>
      </w:r>
      <w:r>
        <w:rPr>
          <w:sz w:val="18"/>
        </w:rPr>
        <w:t>sector.</w:t>
      </w:r>
    </w:p>
    <w:p>
      <w:pPr>
        <w:pStyle w:val="ListParagraph"/>
        <w:numPr>
          <w:ilvl w:val="1"/>
          <w:numId w:val="50"/>
        </w:numPr>
        <w:tabs>
          <w:tab w:pos="1180" w:val="left" w:leader="none"/>
          <w:tab w:pos="1181" w:val="left" w:leader="none"/>
        </w:tabs>
        <w:spacing w:line="264" w:lineRule="auto" w:before="0" w:after="0"/>
        <w:ind w:left="1180" w:right="134" w:hanging="360"/>
        <w:jc w:val="left"/>
        <w:rPr>
          <w:sz w:val="18"/>
        </w:rPr>
      </w:pPr>
      <w:r>
        <w:rPr>
          <w:b/>
          <w:sz w:val="18"/>
        </w:rPr>
        <w:t>Successful re-orientation of government mechanisms. </w:t>
      </w:r>
      <w:r>
        <w:rPr>
          <w:sz w:val="18"/>
        </w:rPr>
        <w:t>This reflects the expected changes in legislation, funding and governance arrangements to be aligned with </w:t>
      </w:r>
      <w:r>
        <w:rPr>
          <w:i/>
          <w:sz w:val="18"/>
        </w:rPr>
        <w:t>Our </w:t>
      </w:r>
      <w:r>
        <w:rPr>
          <w:i/>
          <w:sz w:val="18"/>
        </w:rPr>
        <w:t>Way’s </w:t>
      </w:r>
      <w:r>
        <w:rPr>
          <w:sz w:val="18"/>
        </w:rPr>
        <w:t>principles. It also identifies key internal changes related to eliminating structural racism and strengthening the cultural competency of all government</w:t>
      </w:r>
      <w:r>
        <w:rPr>
          <w:spacing w:val="-16"/>
          <w:sz w:val="18"/>
        </w:rPr>
        <w:t> </w:t>
      </w:r>
      <w:r>
        <w:rPr>
          <w:sz w:val="18"/>
        </w:rPr>
        <w:t>employees.</w:t>
      </w:r>
    </w:p>
    <w:p>
      <w:pPr>
        <w:pStyle w:val="ListParagraph"/>
        <w:numPr>
          <w:ilvl w:val="1"/>
          <w:numId w:val="50"/>
        </w:numPr>
        <w:tabs>
          <w:tab w:pos="1181" w:val="left" w:leader="none"/>
        </w:tabs>
        <w:spacing w:line="264" w:lineRule="auto" w:before="0" w:after="0"/>
        <w:ind w:left="1180" w:right="163" w:hanging="360"/>
        <w:jc w:val="left"/>
        <w:rPr>
          <w:sz w:val="18"/>
        </w:rPr>
      </w:pPr>
      <w:r>
        <w:rPr>
          <w:b/>
          <w:sz w:val="18"/>
        </w:rPr>
        <w:t>The achievement of whole-of-system transformation. </w:t>
      </w:r>
      <w:r>
        <w:rPr>
          <w:sz w:val="18"/>
        </w:rPr>
        <w:t>Positive changes in human service delivery systems – as intended by </w:t>
      </w:r>
      <w:r>
        <w:rPr>
          <w:i/>
          <w:sz w:val="18"/>
        </w:rPr>
        <w:t>Our Way </w:t>
      </w:r>
      <w:r>
        <w:rPr>
          <w:sz w:val="18"/>
        </w:rPr>
        <w:t>– require changes in behaviours, attitudes, collaboration and awareness across the system. It is therefore important to track the extent to which these changes have occurred across different</w:t>
      </w:r>
      <w:r>
        <w:rPr>
          <w:spacing w:val="-20"/>
          <w:sz w:val="18"/>
        </w:rPr>
        <w:t> </w:t>
      </w:r>
      <w:r>
        <w:rPr>
          <w:sz w:val="18"/>
        </w:rPr>
        <w:t>agencies.</w:t>
      </w:r>
    </w:p>
    <w:p>
      <w:pPr>
        <w:pStyle w:val="ListParagraph"/>
        <w:numPr>
          <w:ilvl w:val="0"/>
          <w:numId w:val="50"/>
        </w:numPr>
        <w:tabs>
          <w:tab w:pos="461" w:val="left" w:leader="none"/>
        </w:tabs>
        <w:spacing w:line="264" w:lineRule="auto" w:before="0" w:after="0"/>
        <w:ind w:left="460" w:right="317" w:hanging="360"/>
        <w:jc w:val="left"/>
        <w:rPr>
          <w:sz w:val="18"/>
        </w:rPr>
      </w:pPr>
      <w:r>
        <w:rPr>
          <w:b/>
          <w:sz w:val="18"/>
        </w:rPr>
        <w:t>Long-term outcomes – </w:t>
      </w:r>
      <w:r>
        <w:rPr>
          <w:sz w:val="18"/>
        </w:rPr>
        <w:t>The first two outcomes (LO1 and LO2) reflect the strategy’s long- term vision. The remaining outcomes (LO3 to LO6) are aligned with the Family Matters building blocks. If </w:t>
      </w:r>
      <w:r>
        <w:rPr>
          <w:i/>
          <w:sz w:val="18"/>
        </w:rPr>
        <w:t>Our Way </w:t>
      </w:r>
      <w:r>
        <w:rPr>
          <w:sz w:val="18"/>
        </w:rPr>
        <w:t>is successfully implemented, these long-term outcomes would be attained by the end of this strategy</w:t>
      </w:r>
      <w:r>
        <w:rPr>
          <w:spacing w:val="-14"/>
          <w:sz w:val="18"/>
        </w:rPr>
        <w:t> </w:t>
      </w:r>
      <w:r>
        <w:rPr>
          <w:sz w:val="18"/>
        </w:rPr>
        <w:t>(2037).</w:t>
      </w:r>
    </w:p>
    <w:p>
      <w:pPr>
        <w:pStyle w:val="BodyText"/>
        <w:spacing w:before="9"/>
        <w:rPr>
          <w:sz w:val="17"/>
        </w:rPr>
      </w:pPr>
    </w:p>
    <w:p>
      <w:pPr>
        <w:pStyle w:val="Heading2"/>
        <w:numPr>
          <w:ilvl w:val="1"/>
          <w:numId w:val="24"/>
        </w:numPr>
        <w:tabs>
          <w:tab w:pos="894" w:val="left" w:leader="none"/>
          <w:tab w:pos="895" w:val="left" w:leader="none"/>
        </w:tabs>
        <w:spacing w:line="240" w:lineRule="auto" w:before="0" w:after="0"/>
        <w:ind w:left="894" w:right="0" w:hanging="795"/>
        <w:jc w:val="left"/>
      </w:pPr>
      <w:bookmarkStart w:name="_bookmark95" w:id="154"/>
      <w:bookmarkEnd w:id="154"/>
      <w:r>
        <w:rPr>
          <w:b w:val="0"/>
        </w:rPr>
      </w:r>
      <w:bookmarkStart w:name="_bookmark95" w:id="155"/>
      <w:bookmarkEnd w:id="155"/>
      <w:r>
        <w:rPr>
          <w:color w:val="61B5E4"/>
        </w:rPr>
        <w:t>M</w:t>
      </w:r>
      <w:r>
        <w:rPr>
          <w:color w:val="61B5E4"/>
        </w:rPr>
        <w:t>onitoring and evaluation</w:t>
      </w:r>
      <w:r>
        <w:rPr>
          <w:color w:val="61B5E4"/>
          <w:spacing w:val="-5"/>
        </w:rPr>
        <w:t> </w:t>
      </w:r>
      <w:r>
        <w:rPr>
          <w:color w:val="61B5E4"/>
        </w:rPr>
        <w:t>framework</w:t>
      </w:r>
    </w:p>
    <w:p>
      <w:pPr>
        <w:pStyle w:val="BodyText"/>
        <w:spacing w:line="264" w:lineRule="auto" w:before="20"/>
        <w:ind w:left="100" w:right="415"/>
      </w:pPr>
      <w:r>
        <w:rPr/>
        <w:t>As part of the second phase of the evaluation, it was agreed that the monitoring and evaluation framework can be strengthened further. The revised version is summarised in see Appendix D. This version of the framework:</w:t>
      </w:r>
    </w:p>
    <w:p>
      <w:pPr>
        <w:pStyle w:val="ListParagraph"/>
        <w:numPr>
          <w:ilvl w:val="0"/>
          <w:numId w:val="49"/>
        </w:numPr>
        <w:tabs>
          <w:tab w:pos="460" w:val="left" w:leader="none"/>
          <w:tab w:pos="461" w:val="left" w:leader="none"/>
        </w:tabs>
        <w:spacing w:line="261" w:lineRule="auto" w:before="169" w:after="0"/>
        <w:ind w:left="460" w:right="135" w:hanging="360"/>
        <w:jc w:val="left"/>
        <w:rPr>
          <w:sz w:val="18"/>
        </w:rPr>
      </w:pPr>
      <w:r>
        <w:rPr>
          <w:sz w:val="18"/>
        </w:rPr>
        <w:t>Draws on learnings from the evaluation on key success factors that will contribute to the success of </w:t>
      </w:r>
      <w:r>
        <w:rPr>
          <w:i/>
          <w:sz w:val="18"/>
        </w:rPr>
        <w:t>Our Way</w:t>
      </w:r>
      <w:r>
        <w:rPr>
          <w:sz w:val="18"/>
        </w:rPr>
        <w:t>. Identifies enablers of change – such as whole-of-system commitment and the reorientation of government mechanisms have been included in the framework. It is recommended that these enablers are continuously</w:t>
      </w:r>
      <w:r>
        <w:rPr>
          <w:spacing w:val="-8"/>
          <w:sz w:val="18"/>
        </w:rPr>
        <w:t> </w:t>
      </w:r>
      <w:r>
        <w:rPr>
          <w:sz w:val="18"/>
        </w:rPr>
        <w:t>monitored.</w:t>
      </w:r>
    </w:p>
    <w:p>
      <w:pPr>
        <w:pStyle w:val="ListParagraph"/>
        <w:numPr>
          <w:ilvl w:val="0"/>
          <w:numId w:val="49"/>
        </w:numPr>
        <w:tabs>
          <w:tab w:pos="460" w:val="left" w:leader="none"/>
          <w:tab w:pos="461" w:val="left" w:leader="none"/>
        </w:tabs>
        <w:spacing w:line="264" w:lineRule="auto" w:before="4" w:after="0"/>
        <w:ind w:left="460" w:right="354" w:hanging="360"/>
        <w:jc w:val="left"/>
        <w:rPr>
          <w:sz w:val="18"/>
        </w:rPr>
      </w:pPr>
      <w:r>
        <w:rPr>
          <w:sz w:val="18"/>
        </w:rPr>
        <w:t>Serves as guidance for future evaluation plans. It is likely that the framework will be continuously refined to take the design of future action plans into account. The framework is expected to support conversations on the types of qualitative and quantitative data that will need to be collected as part of future</w:t>
      </w:r>
      <w:r>
        <w:rPr>
          <w:spacing w:val="-12"/>
          <w:sz w:val="18"/>
        </w:rPr>
        <w:t> </w:t>
      </w:r>
      <w:r>
        <w:rPr>
          <w:sz w:val="18"/>
        </w:rPr>
        <w:t>evaluations.</w:t>
      </w:r>
    </w:p>
    <w:p>
      <w:pPr>
        <w:pStyle w:val="ListParagraph"/>
        <w:numPr>
          <w:ilvl w:val="0"/>
          <w:numId w:val="49"/>
        </w:numPr>
        <w:tabs>
          <w:tab w:pos="460" w:val="left" w:leader="none"/>
          <w:tab w:pos="461" w:val="left" w:leader="none"/>
        </w:tabs>
        <w:spacing w:line="261" w:lineRule="auto" w:before="0" w:after="0"/>
        <w:ind w:left="460" w:right="529" w:hanging="360"/>
        <w:jc w:val="left"/>
        <w:rPr>
          <w:sz w:val="18"/>
        </w:rPr>
      </w:pPr>
      <w:r>
        <w:rPr>
          <w:sz w:val="18"/>
        </w:rPr>
        <w:t>Complements the Theory of Change and Program Logic to support future evaluations. The Theory of Change’s future areas of focus features prominently in the framework. Similarly, outcomes included in the program logic model have also been</w:t>
      </w:r>
      <w:r>
        <w:rPr>
          <w:spacing w:val="-14"/>
          <w:sz w:val="18"/>
        </w:rPr>
        <w:t> </w:t>
      </w:r>
      <w:r>
        <w:rPr>
          <w:sz w:val="18"/>
        </w:rPr>
        <w:t>included.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r>
        <w:rPr/>
        <w:pict>
          <v:shape style="position:absolute;margin-left:72.024002pt;margin-top:14.000025pt;width:144.050pt;height:.1pt;mso-position-horizontal-relative:page;mso-position-vertical-relative:paragraph;z-index:-251513856;mso-wrap-distance-left:0;mso-wrap-distance-right:0" coordorigin="1440,280" coordsize="2881,0" path="m1440,280l4321,280e" filled="false" stroked="true" strokeweight=".47998pt" strokecolor="#000000">
            <v:path arrowok="t"/>
            <v:stroke dashstyle="solid"/>
            <w10:wrap type="topAndBottom"/>
          </v:shape>
        </w:pict>
      </w:r>
    </w:p>
    <w:p>
      <w:pPr>
        <w:pStyle w:val="BodyText"/>
        <w:spacing w:before="7"/>
        <w:rPr>
          <w:sz w:val="10"/>
        </w:rPr>
      </w:pPr>
    </w:p>
    <w:p>
      <w:pPr>
        <w:spacing w:before="101"/>
        <w:ind w:left="100" w:right="0" w:firstLine="0"/>
        <w:jc w:val="left"/>
        <w:rPr>
          <w:sz w:val="16"/>
        </w:rPr>
      </w:pPr>
      <w:r>
        <w:rPr>
          <w:position w:val="6"/>
          <w:sz w:val="10"/>
        </w:rPr>
        <w:t>17 </w:t>
      </w:r>
      <w:r>
        <w:rPr>
          <w:sz w:val="16"/>
        </w:rPr>
        <w:t>Queensland Government (2021) Queensland’s 2021 Closing the Gap Implementation Plan</w:t>
      </w:r>
    </w:p>
    <w:p>
      <w:pPr>
        <w:spacing w:after="0"/>
        <w:jc w:val="left"/>
        <w:rPr>
          <w:sz w:val="16"/>
        </w:rPr>
        <w:sectPr>
          <w:pgSz w:w="11910" w:h="16840"/>
          <w:pgMar w:header="650" w:footer="420" w:top="1360" w:bottom="620" w:left="1340" w:right="1340"/>
        </w:sectPr>
      </w:pPr>
    </w:p>
    <w:p>
      <w:pPr>
        <w:spacing w:before="73"/>
        <w:ind w:left="100" w:right="0" w:firstLine="0"/>
        <w:jc w:val="left"/>
        <w:rPr>
          <w:i/>
          <w:sz w:val="14"/>
        </w:rPr>
      </w:pPr>
      <w:r>
        <w:rPr>
          <w:i/>
          <w:sz w:val="14"/>
        </w:rPr>
        <w:t>Our Way Changing Tracks – Final report</w:t>
      </w:r>
    </w:p>
    <w:p>
      <w:pPr>
        <w:pStyle w:val="BodyText"/>
        <w:rPr>
          <w:i/>
          <w:sz w:val="20"/>
        </w:rPr>
      </w:pPr>
    </w:p>
    <w:p>
      <w:pPr>
        <w:pStyle w:val="BodyText"/>
        <w:rPr>
          <w:i/>
          <w:sz w:val="23"/>
        </w:rPr>
      </w:pPr>
    </w:p>
    <w:p>
      <w:pPr>
        <w:spacing w:before="101"/>
        <w:ind w:left="1029" w:right="0" w:firstLine="0"/>
        <w:jc w:val="left"/>
        <w:rPr>
          <w:sz w:val="17"/>
        </w:rPr>
      </w:pPr>
      <w:r>
        <w:rPr/>
        <w:drawing>
          <wp:anchor distT="0" distB="0" distL="0" distR="0" allowOverlap="1" layoutInCell="1" locked="0" behindDoc="0" simplePos="0" relativeHeight="251803648">
            <wp:simplePos x="0" y="0"/>
            <wp:positionH relativeFrom="page">
              <wp:posOffset>925100</wp:posOffset>
            </wp:positionH>
            <wp:positionV relativeFrom="paragraph">
              <wp:posOffset>93328</wp:posOffset>
            </wp:positionV>
            <wp:extent cx="538701" cy="104228"/>
            <wp:effectExtent l="0" t="0" r="0" b="0"/>
            <wp:wrapNone/>
            <wp:docPr id="65" name="image55.png"/>
            <wp:cNvGraphicFramePr>
              <a:graphicFrameLocks noChangeAspect="1"/>
            </wp:cNvGraphicFramePr>
            <a:graphic>
              <a:graphicData uri="http://schemas.openxmlformats.org/drawingml/2006/picture">
                <pic:pic>
                  <pic:nvPicPr>
                    <pic:cNvPr id="66" name="image55.png"/>
                    <pic:cNvPicPr/>
                  </pic:nvPicPr>
                  <pic:blipFill>
                    <a:blip r:embed="rId85" cstate="print"/>
                    <a:stretch>
                      <a:fillRect/>
                    </a:stretch>
                  </pic:blipFill>
                  <pic:spPr>
                    <a:xfrm>
                      <a:off x="0" y="0"/>
                      <a:ext cx="538701" cy="104228"/>
                    </a:xfrm>
                    <a:prstGeom prst="rect">
                      <a:avLst/>
                    </a:prstGeom>
                  </pic:spPr>
                </pic:pic>
              </a:graphicData>
            </a:graphic>
          </wp:anchor>
        </w:drawing>
      </w:r>
      <w:bookmarkStart w:name="_bookmark96" w:id="156"/>
      <w:bookmarkEnd w:id="156"/>
      <w:r>
        <w:rPr/>
      </w:r>
      <w:r>
        <w:rPr>
          <w:color w:val="75787A"/>
          <w:sz w:val="17"/>
        </w:rPr>
        <w:t>Program logic model</w:t>
      </w:r>
    </w:p>
    <w:p>
      <w:pPr>
        <w:spacing w:after="0"/>
        <w:jc w:val="left"/>
        <w:rPr>
          <w:sz w:val="17"/>
        </w:rPr>
        <w:sectPr>
          <w:headerReference w:type="default" r:id="rId83"/>
          <w:footerReference w:type="default" r:id="rId84"/>
          <w:pgSz w:w="16840" w:h="11910" w:orient="landscape"/>
          <w:pgMar w:header="0" w:footer="420" w:top="600" w:bottom="620" w:left="1340" w:right="2420"/>
        </w:sectPr>
      </w:pPr>
    </w:p>
    <w:p>
      <w:pPr>
        <w:pStyle w:val="Heading1"/>
        <w:numPr>
          <w:ilvl w:val="0"/>
          <w:numId w:val="24"/>
        </w:numPr>
        <w:tabs>
          <w:tab w:pos="1114" w:val="left" w:leader="none"/>
          <w:tab w:pos="1115" w:val="left" w:leader="none"/>
        </w:tabs>
        <w:spacing w:line="240" w:lineRule="auto" w:before="92" w:after="0"/>
        <w:ind w:left="1114" w:right="0" w:hanging="795"/>
        <w:jc w:val="left"/>
      </w:pPr>
      <w:bookmarkStart w:name="_bookmark97" w:id="157"/>
      <w:bookmarkEnd w:id="157"/>
      <w:r>
        <w:rPr/>
      </w:r>
      <w:bookmarkStart w:name="_bookmark97" w:id="158"/>
      <w:bookmarkEnd w:id="158"/>
      <w:r>
        <w:rPr/>
        <w:t>Look</w:t>
      </w:r>
      <w:r>
        <w:rPr/>
        <w:t>ing</w:t>
      </w:r>
      <w:r>
        <w:rPr>
          <w:spacing w:val="-3"/>
        </w:rPr>
        <w:t> </w:t>
      </w:r>
      <w:r>
        <w:rPr/>
        <w:t>ahead</w:t>
      </w:r>
    </w:p>
    <w:p>
      <w:pPr>
        <w:spacing w:line="264" w:lineRule="auto" w:before="500"/>
        <w:ind w:left="320" w:right="243" w:firstLine="0"/>
        <w:jc w:val="left"/>
        <w:rPr>
          <w:i/>
          <w:sz w:val="18"/>
        </w:rPr>
      </w:pPr>
      <w:r>
        <w:rPr>
          <w:i/>
          <w:sz w:val="18"/>
        </w:rPr>
        <w:t>This section summarises recommended future areas of focus to strengthen the implementation of </w:t>
      </w:r>
      <w:r>
        <w:rPr>
          <w:i/>
          <w:sz w:val="18"/>
        </w:rPr>
        <w:t>Our Way in the remaining years.</w:t>
      </w:r>
    </w:p>
    <w:p>
      <w:pPr>
        <w:pStyle w:val="BodyText"/>
        <w:spacing w:before="7"/>
        <w:rPr>
          <w:i/>
          <w:sz w:val="19"/>
        </w:rPr>
      </w:pPr>
    </w:p>
    <w:p>
      <w:pPr>
        <w:pStyle w:val="BodyText"/>
        <w:spacing w:line="264" w:lineRule="auto" w:before="1"/>
        <w:ind w:left="320" w:right="152"/>
      </w:pPr>
      <w:r>
        <w:rPr>
          <w:i/>
        </w:rPr>
        <w:t>Our Way </w:t>
      </w:r>
      <w:r>
        <w:rPr/>
        <w:t>is in its fifth year of implementation. There have been momentous achievements such as the implementation of Delegated Authority in two early adopter sites and rollout of the Aboriginal and Torres Strait Islander Family Wellbeing Services. However, some implementation barriers remain in this complex system with multiple levers. Stakeholders from different parts of the system have identified the valuable opportunity to work together in a more effective manner and make more transformational changes to build a system that works for Aboriginal and Torres Strait Islander peoples. In the remaining 15 years of </w:t>
      </w:r>
      <w:r>
        <w:rPr>
          <w:i/>
        </w:rPr>
        <w:t>Our Way</w:t>
      </w:r>
      <w:r>
        <w:rPr/>
        <w:t>, it will be important to build on what works and rethink and reshape what does not. </w:t>
      </w:r>
      <w:hyperlink w:history="true" w:anchor="_bookmark98">
        <w:r>
          <w:rPr/>
          <w:t>Figure 7.1 </w:t>
        </w:r>
      </w:hyperlink>
      <w:r>
        <w:rPr/>
        <w:t>illustrates the four key areas of focus for the remaining years of </w:t>
      </w:r>
      <w:r>
        <w:rPr>
          <w:i/>
        </w:rPr>
        <w:t>Our Way </w:t>
      </w:r>
      <w:r>
        <w:rPr/>
        <w:t>and the key enablers of positive systems change.</w:t>
      </w:r>
    </w:p>
    <w:p>
      <w:pPr>
        <w:spacing w:before="177"/>
        <w:ind w:left="336" w:right="0" w:firstLine="0"/>
        <w:jc w:val="left"/>
        <w:rPr>
          <w:sz w:val="17"/>
        </w:rPr>
      </w:pPr>
      <w:r>
        <w:rPr/>
        <w:pict>
          <v:group style="position:absolute;margin-left:138.096771pt;margin-top:27.700262pt;width:92.85pt;height:71.4pt;mso-position-horizontal-relative:page;mso-position-vertical-relative:paragraph;z-index:251807744" coordorigin="2762,554" coordsize="1857,1428">
            <v:shape style="position:absolute;left:2761;top:554;width:1857;height:1428" type="#_x0000_t75" stroked="false">
              <v:imagedata r:id="rId88" o:title=""/>
            </v:shape>
            <v:shape style="position:absolute;left:2955;top:697;width:142;height:209" type="#_x0000_t202" filled="false" stroked="false">
              <v:textbox inset="0,0,0,0">
                <w:txbxContent>
                  <w:p>
                    <w:pPr>
                      <w:spacing w:before="1"/>
                      <w:ind w:left="0" w:right="0" w:firstLine="0"/>
                      <w:jc w:val="left"/>
                      <w:rPr>
                        <w:b/>
                        <w:sz w:val="17"/>
                      </w:rPr>
                    </w:pPr>
                    <w:r>
                      <w:rPr>
                        <w:b/>
                        <w:w w:val="100"/>
                        <w:sz w:val="17"/>
                      </w:rPr>
                      <w:t>1</w:t>
                    </w:r>
                  </w:p>
                </w:txbxContent>
              </v:textbox>
              <w10:wrap type="none"/>
            </v:shape>
            <v:shape style="position:absolute;left:3060;top:972;width:1373;height:842" type="#_x0000_t202" filled="false" stroked="false">
              <v:textbox inset="0,0,0,0">
                <w:txbxContent>
                  <w:p>
                    <w:pPr>
                      <w:spacing w:line="237" w:lineRule="auto" w:before="1"/>
                      <w:ind w:left="0" w:right="18" w:firstLine="5"/>
                      <w:jc w:val="center"/>
                      <w:rPr>
                        <w:b/>
                        <w:sz w:val="14"/>
                      </w:rPr>
                    </w:pPr>
                    <w:r>
                      <w:rPr>
                        <w:b/>
                        <w:sz w:val="14"/>
                      </w:rPr>
                      <w:t>Recognise and implement the transformative changes that </w:t>
                    </w:r>
                    <w:r>
                      <w:rPr>
                        <w:b/>
                        <w:i/>
                        <w:sz w:val="14"/>
                      </w:rPr>
                      <w:t>Our </w:t>
                    </w:r>
                    <w:r>
                      <w:rPr>
                        <w:b/>
                        <w:i/>
                        <w:sz w:val="14"/>
                      </w:rPr>
                      <w:t>Way </w:t>
                    </w:r>
                    <w:r>
                      <w:rPr>
                        <w:b/>
                        <w:sz w:val="14"/>
                      </w:rPr>
                      <w:t>requires</w:t>
                    </w:r>
                  </w:p>
                </w:txbxContent>
              </v:textbox>
              <w10:wrap type="none"/>
            </v:shape>
            <w10:wrap type="none"/>
          </v:group>
        </w:pict>
      </w:r>
      <w:r>
        <w:rPr/>
        <w:pict>
          <v:group style="position:absolute;margin-left:234.49144pt;margin-top:27.700268pt;width:92.1pt;height:71.4pt;mso-position-horizontal-relative:page;mso-position-vertical-relative:paragraph;z-index:251809792" coordorigin="4690,554" coordsize="1842,1428">
            <v:shape style="position:absolute;left:4689;top:554;width:1842;height:1428" type="#_x0000_t75" stroked="false">
              <v:imagedata r:id="rId89" o:title=""/>
            </v:shape>
            <v:shape style="position:absolute;left:4689;top:554;width:1842;height:1428" type="#_x0000_t202" filled="false" stroked="false">
              <v:textbox inset="0,0,0,0">
                <w:txbxContent>
                  <w:p>
                    <w:pPr>
                      <w:spacing w:before="144"/>
                      <w:ind w:left="192" w:right="0" w:firstLine="0"/>
                      <w:jc w:val="left"/>
                      <w:rPr>
                        <w:b/>
                        <w:sz w:val="17"/>
                      </w:rPr>
                    </w:pPr>
                    <w:r>
                      <w:rPr>
                        <w:b/>
                        <w:w w:val="100"/>
                        <w:sz w:val="17"/>
                      </w:rPr>
                      <w:t>2</w:t>
                    </w:r>
                  </w:p>
                  <w:p>
                    <w:pPr>
                      <w:spacing w:line="237" w:lineRule="auto" w:before="69"/>
                      <w:ind w:left="178" w:right="94" w:firstLine="0"/>
                      <w:jc w:val="center"/>
                      <w:rPr>
                        <w:b/>
                        <w:sz w:val="14"/>
                      </w:rPr>
                    </w:pPr>
                    <w:r>
                      <w:rPr>
                        <w:b/>
                        <w:sz w:val="14"/>
                      </w:rPr>
                      <w:t>Support the sustainable development of the community- controlled sector</w:t>
                    </w:r>
                  </w:p>
                </w:txbxContent>
              </v:textbox>
              <w10:wrap type="none"/>
            </v:shape>
            <w10:wrap type="none"/>
          </v:group>
        </w:pict>
      </w:r>
      <w:r>
        <w:rPr/>
        <w:pict>
          <v:group style="position:absolute;margin-left:330.51236pt;margin-top:27.700274pt;width:91.8pt;height:71.4pt;mso-position-horizontal-relative:page;mso-position-vertical-relative:paragraph;z-index:251812864" coordorigin="6610,554" coordsize="1836,1428">
            <v:shape style="position:absolute;left:6610;top:554;width:1836;height:1428" type="#_x0000_t75" stroked="false">
              <v:imagedata r:id="rId90" o:title=""/>
            </v:shape>
            <v:shape style="position:absolute;left:6803;top:697;width:142;height:209" type="#_x0000_t202" filled="false" stroked="false">
              <v:textbox inset="0,0,0,0">
                <w:txbxContent>
                  <w:p>
                    <w:pPr>
                      <w:spacing w:before="1"/>
                      <w:ind w:left="0" w:right="0" w:firstLine="0"/>
                      <w:jc w:val="left"/>
                      <w:rPr>
                        <w:b/>
                        <w:sz w:val="17"/>
                      </w:rPr>
                    </w:pPr>
                    <w:r>
                      <w:rPr>
                        <w:b/>
                        <w:w w:val="100"/>
                        <w:sz w:val="17"/>
                      </w:rPr>
                      <w:t>3</w:t>
                    </w:r>
                  </w:p>
                </w:txbxContent>
              </v:textbox>
              <w10:wrap type="none"/>
            </v:shape>
            <v:shape style="position:absolute;left:6894;top:1140;width:1362;height:505" type="#_x0000_t202" filled="false" stroked="false">
              <v:textbox inset="0,0,0,0">
                <w:txbxContent>
                  <w:p>
                    <w:pPr>
                      <w:spacing w:line="237" w:lineRule="auto" w:before="1"/>
                      <w:ind w:left="182" w:right="-1" w:hanging="183"/>
                      <w:jc w:val="left"/>
                      <w:rPr>
                        <w:b/>
                        <w:sz w:val="14"/>
                      </w:rPr>
                    </w:pPr>
                    <w:r>
                      <w:rPr>
                        <w:b/>
                        <w:sz w:val="14"/>
                      </w:rPr>
                      <w:t>Re-orientation of government mechanisms</w:t>
                    </w:r>
                  </w:p>
                </w:txbxContent>
              </v:textbox>
              <w10:wrap type="none"/>
            </v:shape>
            <w10:wrap type="none"/>
          </v:group>
        </w:pict>
      </w:r>
      <w:r>
        <w:rPr/>
        <w:pict>
          <v:group style="position:absolute;margin-left:429.236786pt;margin-top:27.700281pt;width:88.75pt;height:71.4pt;mso-position-horizontal-relative:page;mso-position-vertical-relative:paragraph;z-index:251814912" coordorigin="8585,554" coordsize="1775,1428">
            <v:shape style="position:absolute;left:8584;top:554;width:1775;height:1428" type="#_x0000_t75" stroked="false">
              <v:imagedata r:id="rId91" o:title=""/>
            </v:shape>
            <v:shape style="position:absolute;left:8584;top:554;width:1775;height:1428" type="#_x0000_t202" filled="false" stroked="false">
              <v:textbox inset="0,0,0,0">
                <w:txbxContent>
                  <w:p>
                    <w:pPr>
                      <w:spacing w:before="144"/>
                      <w:ind w:left="194" w:right="0" w:firstLine="0"/>
                      <w:jc w:val="left"/>
                      <w:rPr>
                        <w:b/>
                        <w:sz w:val="17"/>
                      </w:rPr>
                    </w:pPr>
                    <w:r>
                      <w:rPr>
                        <w:b/>
                        <w:w w:val="100"/>
                        <w:sz w:val="17"/>
                      </w:rPr>
                      <w:t>4</w:t>
                    </w:r>
                  </w:p>
                  <w:p>
                    <w:pPr>
                      <w:spacing w:line="237" w:lineRule="auto" w:before="69"/>
                      <w:ind w:left="166" w:right="149" w:firstLine="357"/>
                      <w:jc w:val="left"/>
                      <w:rPr>
                        <w:b/>
                        <w:i/>
                        <w:sz w:val="14"/>
                      </w:rPr>
                    </w:pPr>
                    <w:r>
                      <w:rPr>
                        <w:b/>
                        <w:sz w:val="14"/>
                      </w:rPr>
                      <w:t>Engender whole-of-system commitment to achieve </w:t>
                    </w:r>
                    <w:r>
                      <w:rPr>
                        <w:b/>
                        <w:i/>
                        <w:sz w:val="14"/>
                      </w:rPr>
                      <w:t>Our Way’s</w:t>
                    </w:r>
                  </w:p>
                  <w:p>
                    <w:pPr>
                      <w:spacing w:line="166" w:lineRule="exact" w:before="0"/>
                      <w:ind w:left="492" w:right="0" w:firstLine="0"/>
                      <w:jc w:val="left"/>
                      <w:rPr>
                        <w:b/>
                        <w:sz w:val="14"/>
                      </w:rPr>
                    </w:pPr>
                    <w:r>
                      <w:rPr>
                        <w:b/>
                        <w:sz w:val="14"/>
                      </w:rPr>
                      <w:t>objectives</w:t>
                    </w:r>
                  </w:p>
                </w:txbxContent>
              </v:textbox>
              <w10:wrap type="none"/>
            </v:shape>
            <w10:wrap type="none"/>
          </v:group>
        </w:pict>
      </w:r>
      <w:r>
        <w:rPr>
          <w:position w:val="-3"/>
        </w:rPr>
        <w:drawing>
          <wp:inline distT="0" distB="0" distL="0" distR="0">
            <wp:extent cx="532618" cy="102770"/>
            <wp:effectExtent l="0" t="0" r="0" b="0"/>
            <wp:docPr id="67" name="image60.png"/>
            <wp:cNvGraphicFramePr>
              <a:graphicFrameLocks noChangeAspect="1"/>
            </wp:cNvGraphicFramePr>
            <a:graphic>
              <a:graphicData uri="http://schemas.openxmlformats.org/drawingml/2006/picture">
                <pic:pic>
                  <pic:nvPicPr>
                    <pic:cNvPr id="68" name="image60.png"/>
                    <pic:cNvPicPr/>
                  </pic:nvPicPr>
                  <pic:blipFill>
                    <a:blip r:embed="rId92" cstate="print"/>
                    <a:stretch>
                      <a:fillRect/>
                    </a:stretch>
                  </pic:blipFill>
                  <pic:spPr>
                    <a:xfrm>
                      <a:off x="0" y="0"/>
                      <a:ext cx="532618" cy="102770"/>
                    </a:xfrm>
                    <a:prstGeom prst="rect">
                      <a:avLst/>
                    </a:prstGeom>
                  </pic:spPr>
                </pic:pic>
              </a:graphicData>
            </a:graphic>
          </wp:inline>
        </w:drawing>
      </w:r>
      <w:r>
        <w:rPr>
          <w:position w:val="-3"/>
        </w:rPr>
      </w:r>
      <w:r>
        <w:rPr>
          <w:rFonts w:ascii="Times New Roman"/>
          <w:spacing w:val="23"/>
          <w:sz w:val="20"/>
        </w:rPr>
        <w:t> </w:t>
      </w:r>
      <w:bookmarkStart w:name="_bookmark98" w:id="159"/>
      <w:bookmarkEnd w:id="159"/>
      <w:r>
        <w:rPr>
          <w:rFonts w:ascii="Times New Roman"/>
          <w:spacing w:val="23"/>
          <w:sz w:val="20"/>
        </w:rPr>
      </w:r>
      <w:r>
        <w:rPr>
          <w:color w:val="75787A"/>
          <w:sz w:val="17"/>
        </w:rPr>
        <w:t>Future areas of</w:t>
      </w:r>
      <w:r>
        <w:rPr>
          <w:color w:val="75787A"/>
          <w:spacing w:val="-2"/>
          <w:sz w:val="17"/>
        </w:rPr>
        <w:t> </w:t>
      </w:r>
      <w:r>
        <w:rPr>
          <w:color w:val="75787A"/>
          <w:sz w:val="17"/>
        </w:rPr>
        <w:t>focus</w:t>
      </w:r>
    </w:p>
    <w:p>
      <w:pPr>
        <w:pStyle w:val="BodyText"/>
        <w:rPr>
          <w:sz w:val="20"/>
        </w:rPr>
      </w:pPr>
    </w:p>
    <w:p>
      <w:pPr>
        <w:pStyle w:val="BodyText"/>
        <w:rPr>
          <w:sz w:val="20"/>
        </w:rPr>
      </w:pPr>
    </w:p>
    <w:p>
      <w:pPr>
        <w:pStyle w:val="BodyText"/>
        <w:spacing w:before="10"/>
        <w:rPr>
          <w:sz w:val="22"/>
        </w:rPr>
      </w:pPr>
    </w:p>
    <w:p>
      <w:pPr>
        <w:spacing w:before="0"/>
        <w:ind w:left="777" w:right="7889" w:firstLine="141"/>
        <w:jc w:val="right"/>
        <w:rPr>
          <w:b/>
          <w:sz w:val="17"/>
        </w:rPr>
      </w:pPr>
      <w:r>
        <w:rPr>
          <w:b/>
          <w:color w:val="303030"/>
          <w:spacing w:val="-1"/>
          <w:sz w:val="17"/>
        </w:rPr>
        <w:t>Future </w:t>
      </w:r>
      <w:r>
        <w:rPr>
          <w:b/>
          <w:color w:val="303030"/>
          <w:sz w:val="17"/>
        </w:rPr>
        <w:t>areas</w:t>
      </w:r>
      <w:r>
        <w:rPr>
          <w:b/>
          <w:color w:val="303030"/>
          <w:spacing w:val="2"/>
          <w:sz w:val="17"/>
        </w:rPr>
        <w:t> </w:t>
      </w:r>
      <w:r>
        <w:rPr>
          <w:b/>
          <w:color w:val="303030"/>
          <w:spacing w:val="-7"/>
          <w:sz w:val="17"/>
        </w:rPr>
        <w:t>of</w:t>
      </w:r>
    </w:p>
    <w:p>
      <w:pPr>
        <w:spacing w:line="203" w:lineRule="exact" w:before="0"/>
        <w:ind w:left="0" w:right="7890" w:firstLine="0"/>
        <w:jc w:val="right"/>
        <w:rPr>
          <w:b/>
          <w:sz w:val="17"/>
        </w:rPr>
      </w:pPr>
      <w:r>
        <w:rPr>
          <w:b/>
          <w:color w:val="303030"/>
          <w:spacing w:val="-1"/>
          <w:sz w:val="17"/>
        </w:rPr>
        <w:t>focus</w:t>
      </w:r>
    </w:p>
    <w:p>
      <w:pPr>
        <w:pStyle w:val="BodyText"/>
        <w:spacing w:before="6"/>
        <w:rPr>
          <w:b/>
          <w:sz w:val="28"/>
        </w:rPr>
      </w:pPr>
      <w:r>
        <w:rPr/>
        <w:drawing>
          <wp:anchor distT="0" distB="0" distL="0" distR="0" allowOverlap="1" layoutInCell="1" locked="0" behindDoc="0" simplePos="0" relativeHeight="143">
            <wp:simplePos x="0" y="0"/>
            <wp:positionH relativeFrom="page">
              <wp:posOffset>1792536</wp:posOffset>
            </wp:positionH>
            <wp:positionV relativeFrom="paragraph">
              <wp:posOffset>244687</wp:posOffset>
            </wp:positionV>
            <wp:extent cx="4847182" cy="176022"/>
            <wp:effectExtent l="0" t="0" r="0" b="0"/>
            <wp:wrapTopAndBottom/>
            <wp:docPr id="69" name="image35.jpeg"/>
            <wp:cNvGraphicFramePr>
              <a:graphicFrameLocks noChangeAspect="1"/>
            </wp:cNvGraphicFramePr>
            <a:graphic>
              <a:graphicData uri="http://schemas.openxmlformats.org/drawingml/2006/picture">
                <pic:pic>
                  <pic:nvPicPr>
                    <pic:cNvPr id="70" name="image35.jpeg"/>
                    <pic:cNvPicPr/>
                  </pic:nvPicPr>
                  <pic:blipFill>
                    <a:blip r:embed="rId53" cstate="print"/>
                    <a:stretch>
                      <a:fillRect/>
                    </a:stretch>
                  </pic:blipFill>
                  <pic:spPr>
                    <a:xfrm>
                      <a:off x="0" y="0"/>
                      <a:ext cx="4847182" cy="176022"/>
                    </a:xfrm>
                    <a:prstGeom prst="rect">
                      <a:avLst/>
                    </a:prstGeom>
                  </pic:spPr>
                </pic:pic>
              </a:graphicData>
            </a:graphic>
          </wp:anchor>
        </w:drawing>
      </w:r>
    </w:p>
    <w:p>
      <w:pPr>
        <w:pStyle w:val="BodyText"/>
        <w:spacing w:before="6"/>
        <w:rPr>
          <w:b/>
          <w:sz w:val="19"/>
        </w:rPr>
      </w:pPr>
    </w:p>
    <w:p>
      <w:pPr>
        <w:spacing w:line="206" w:lineRule="exact" w:before="0"/>
        <w:ind w:left="0" w:right="7891" w:firstLine="0"/>
        <w:jc w:val="right"/>
        <w:rPr>
          <w:b/>
          <w:sz w:val="17"/>
        </w:rPr>
      </w:pPr>
      <w:r>
        <w:rPr/>
        <w:pict>
          <v:shape style="position:absolute;margin-left:142.823196pt;margin-top:-10.309237pt;width:375.15pt;height:47.15pt;mso-position-horizontal-relative:page;mso-position-vertical-relative:paragraph;z-index:251816960" type="#_x0000_t202" filled="false" stroked="false">
            <v:textbox inset="0,0,0,0">
              <w:txbxContent>
                <w:tbl>
                  <w:tblPr>
                    <w:tblCellSpacing w:w="26" w:type="dxa"/>
                    <w:tblW w:w="0" w:type="auto"/>
                    <w:jc w:val="lef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2"/>
                    <w:gridCol w:w="1425"/>
                    <w:gridCol w:w="2119"/>
                    <w:gridCol w:w="1866"/>
                  </w:tblGrid>
                  <w:tr>
                    <w:trPr>
                      <w:trHeight w:val="889" w:hRule="atLeast"/>
                    </w:trPr>
                    <w:tc>
                      <w:tcPr>
                        <w:tcW w:w="2092" w:type="dxa"/>
                        <w:tcBorders>
                          <w:right w:val="nil"/>
                        </w:tcBorders>
                        <w:shd w:val="clear" w:color="auto" w:fill="E2E3E4"/>
                      </w:tcPr>
                      <w:p>
                        <w:pPr>
                          <w:pStyle w:val="TableParagraph"/>
                          <w:spacing w:line="237" w:lineRule="auto" w:before="51"/>
                          <w:ind w:left="224" w:right="218"/>
                          <w:jc w:val="center"/>
                          <w:rPr>
                            <w:b/>
                            <w:sz w:val="14"/>
                          </w:rPr>
                        </w:pPr>
                        <w:r>
                          <w:rPr>
                            <w:b/>
                            <w:sz w:val="14"/>
                          </w:rPr>
                          <w:t>Strong governance arrangements which embed Indigenous leadership and community voice</w:t>
                        </w:r>
                      </w:p>
                    </w:tc>
                    <w:tc>
                      <w:tcPr>
                        <w:tcW w:w="1425" w:type="dxa"/>
                        <w:tcBorders>
                          <w:left w:val="nil"/>
                          <w:right w:val="nil"/>
                        </w:tcBorders>
                        <w:shd w:val="clear" w:color="auto" w:fill="E2E3E4"/>
                      </w:tcPr>
                      <w:p>
                        <w:pPr>
                          <w:pStyle w:val="TableParagraph"/>
                          <w:spacing w:before="5"/>
                          <w:rPr>
                            <w:sz w:val="18"/>
                          </w:rPr>
                        </w:pPr>
                      </w:p>
                      <w:p>
                        <w:pPr>
                          <w:pStyle w:val="TableParagraph"/>
                          <w:spacing w:line="237" w:lineRule="auto"/>
                          <w:ind w:left="273" w:right="254" w:hanging="17"/>
                          <w:jc w:val="both"/>
                          <w:rPr>
                            <w:b/>
                            <w:sz w:val="14"/>
                          </w:rPr>
                        </w:pPr>
                        <w:r>
                          <w:rPr>
                            <w:b/>
                            <w:sz w:val="14"/>
                          </w:rPr>
                          <w:t>Supportive legislation and policy</w:t>
                        </w:r>
                      </w:p>
                    </w:tc>
                    <w:tc>
                      <w:tcPr>
                        <w:tcW w:w="2119" w:type="dxa"/>
                        <w:tcBorders>
                          <w:left w:val="nil"/>
                          <w:right w:val="nil"/>
                        </w:tcBorders>
                        <w:shd w:val="clear" w:color="auto" w:fill="E2E3E4"/>
                      </w:tcPr>
                      <w:p>
                        <w:pPr>
                          <w:pStyle w:val="TableParagraph"/>
                          <w:spacing w:line="237" w:lineRule="auto" w:before="140"/>
                          <w:ind w:left="322" w:right="319"/>
                          <w:jc w:val="center"/>
                          <w:rPr>
                            <w:b/>
                            <w:sz w:val="14"/>
                          </w:rPr>
                        </w:pPr>
                        <w:r>
                          <w:rPr>
                            <w:b/>
                            <w:sz w:val="14"/>
                          </w:rPr>
                          <w:t>Equitable funding, procurement and commissioning processes</w:t>
                        </w:r>
                      </w:p>
                    </w:tc>
                    <w:tc>
                      <w:tcPr>
                        <w:tcW w:w="1866" w:type="dxa"/>
                        <w:tcBorders>
                          <w:left w:val="nil"/>
                        </w:tcBorders>
                        <w:shd w:val="clear" w:color="auto" w:fill="E2E3E4"/>
                      </w:tcPr>
                      <w:p>
                        <w:pPr>
                          <w:pStyle w:val="TableParagraph"/>
                          <w:spacing w:line="237" w:lineRule="auto" w:before="135"/>
                          <w:ind w:left="371" w:right="369" w:hanging="1"/>
                          <w:jc w:val="center"/>
                          <w:rPr>
                            <w:b/>
                            <w:sz w:val="14"/>
                          </w:rPr>
                        </w:pPr>
                        <w:r>
                          <w:rPr>
                            <w:b/>
                            <w:sz w:val="14"/>
                          </w:rPr>
                          <w:t>Robust data collection and performance monitoring</w:t>
                        </w:r>
                      </w:p>
                    </w:tc>
                  </w:tr>
                </w:tbl>
                <w:p>
                  <w:pPr>
                    <w:pStyle w:val="BodyText"/>
                  </w:pPr>
                </w:p>
              </w:txbxContent>
            </v:textbox>
            <w10:wrap type="none"/>
          </v:shape>
        </w:pict>
      </w:r>
      <w:r>
        <w:rPr>
          <w:b/>
          <w:color w:val="303030"/>
          <w:sz w:val="17"/>
        </w:rPr>
        <w:t>Enablers</w:t>
      </w:r>
      <w:r>
        <w:rPr>
          <w:b/>
          <w:color w:val="303030"/>
          <w:spacing w:val="1"/>
          <w:sz w:val="17"/>
        </w:rPr>
        <w:t> </w:t>
      </w:r>
      <w:r>
        <w:rPr>
          <w:b/>
          <w:color w:val="303030"/>
          <w:sz w:val="17"/>
        </w:rPr>
        <w:t>of</w:t>
      </w:r>
    </w:p>
    <w:p>
      <w:pPr>
        <w:spacing w:line="206" w:lineRule="exact" w:before="0"/>
        <w:ind w:left="0" w:right="7891" w:firstLine="0"/>
        <w:jc w:val="right"/>
        <w:rPr>
          <w:b/>
          <w:sz w:val="17"/>
        </w:rPr>
      </w:pPr>
      <w:r>
        <w:rPr>
          <w:b/>
          <w:color w:val="303030"/>
          <w:spacing w:val="-1"/>
          <w:sz w:val="17"/>
        </w:rPr>
        <w:t>change</w:t>
      </w:r>
    </w:p>
    <w:p>
      <w:pPr>
        <w:pStyle w:val="BodyText"/>
        <w:rPr>
          <w:b/>
          <w:sz w:val="20"/>
        </w:rPr>
      </w:pPr>
    </w:p>
    <w:p>
      <w:pPr>
        <w:pStyle w:val="BodyText"/>
        <w:spacing w:before="3"/>
        <w:rPr>
          <w:b/>
          <w:sz w:val="25"/>
        </w:rPr>
      </w:pPr>
    </w:p>
    <w:p>
      <w:pPr>
        <w:pStyle w:val="BodyText"/>
        <w:spacing w:line="264" w:lineRule="auto" w:before="1"/>
        <w:ind w:left="320" w:right="490"/>
      </w:pPr>
      <w:r>
        <w:rPr/>
        <w:drawing>
          <wp:anchor distT="0" distB="0" distL="0" distR="0" allowOverlap="1" layoutInCell="1" locked="0" behindDoc="0" simplePos="0" relativeHeight="251815936">
            <wp:simplePos x="0" y="0"/>
            <wp:positionH relativeFrom="page">
              <wp:posOffset>937373</wp:posOffset>
            </wp:positionH>
            <wp:positionV relativeFrom="paragraph">
              <wp:posOffset>323700</wp:posOffset>
            </wp:positionV>
            <wp:extent cx="431907" cy="427366"/>
            <wp:effectExtent l="0" t="0" r="0" b="0"/>
            <wp:wrapNone/>
            <wp:docPr id="71" name="image29.jpeg"/>
            <wp:cNvGraphicFramePr>
              <a:graphicFrameLocks noChangeAspect="1"/>
            </wp:cNvGraphicFramePr>
            <a:graphic>
              <a:graphicData uri="http://schemas.openxmlformats.org/drawingml/2006/picture">
                <pic:pic>
                  <pic:nvPicPr>
                    <pic:cNvPr id="72" name="image29.jpeg"/>
                    <pic:cNvPicPr/>
                  </pic:nvPicPr>
                  <pic:blipFill>
                    <a:blip r:embed="rId43" cstate="print"/>
                    <a:stretch>
                      <a:fillRect/>
                    </a:stretch>
                  </pic:blipFill>
                  <pic:spPr>
                    <a:xfrm>
                      <a:off x="0" y="0"/>
                      <a:ext cx="431907" cy="427366"/>
                    </a:xfrm>
                    <a:prstGeom prst="rect">
                      <a:avLst/>
                    </a:prstGeom>
                  </pic:spPr>
                </pic:pic>
              </a:graphicData>
            </a:graphic>
          </wp:anchor>
        </w:drawing>
      </w:r>
      <w:r>
        <w:rPr/>
        <w:t>More detailed recommendations underpinning each area of focus is elaborated in greater detail below:</w:t>
      </w:r>
    </w:p>
    <w:p>
      <w:pPr>
        <w:pStyle w:val="BodyText"/>
        <w:rPr>
          <w:sz w:val="17"/>
        </w:rPr>
      </w:pPr>
    </w:p>
    <w:p>
      <w:pPr>
        <w:pStyle w:val="Heading4"/>
        <w:numPr>
          <w:ilvl w:val="0"/>
          <w:numId w:val="51"/>
        </w:numPr>
        <w:tabs>
          <w:tab w:pos="1614" w:val="left" w:leader="none"/>
        </w:tabs>
        <w:spacing w:line="240" w:lineRule="auto" w:before="1" w:after="0"/>
        <w:ind w:left="1614" w:right="0" w:hanging="358"/>
        <w:jc w:val="left"/>
      </w:pPr>
      <w:r>
        <w:rPr>
          <w:color w:val="EC8A00"/>
        </w:rPr>
        <w:t>Recognise and implement the transformative change that </w:t>
      </w:r>
      <w:r>
        <w:rPr>
          <w:i/>
          <w:color w:val="EC8A00"/>
        </w:rPr>
        <w:t>Our Way</w:t>
      </w:r>
      <w:r>
        <w:rPr>
          <w:i/>
          <w:color w:val="EC8A00"/>
          <w:spacing w:val="-19"/>
        </w:rPr>
        <w:t> </w:t>
      </w:r>
      <w:r>
        <w:rPr>
          <w:color w:val="EC8A00"/>
        </w:rPr>
        <w:t>requires</w:t>
      </w:r>
    </w:p>
    <w:p>
      <w:pPr>
        <w:pStyle w:val="BodyText"/>
        <w:spacing w:before="5"/>
        <w:rPr>
          <w:b/>
          <w:sz w:val="27"/>
        </w:rPr>
      </w:pPr>
    </w:p>
    <w:p>
      <w:pPr>
        <w:spacing w:line="264" w:lineRule="auto" w:before="0"/>
        <w:ind w:left="320" w:right="286" w:firstLine="0"/>
        <w:jc w:val="left"/>
        <w:rPr>
          <w:sz w:val="18"/>
        </w:rPr>
      </w:pPr>
      <w:r>
        <w:rPr>
          <w:sz w:val="18"/>
        </w:rPr>
        <w:t>There needs to be a whole of government recognition of the transformative change required to achieve </w:t>
      </w:r>
      <w:r>
        <w:rPr>
          <w:i/>
          <w:sz w:val="18"/>
        </w:rPr>
        <w:t>Our Way’s </w:t>
      </w:r>
      <w:r>
        <w:rPr>
          <w:sz w:val="18"/>
        </w:rPr>
        <w:t>objectives. For </w:t>
      </w:r>
      <w:r>
        <w:rPr>
          <w:i/>
          <w:sz w:val="18"/>
        </w:rPr>
        <w:t>Our Way </w:t>
      </w:r>
      <w:r>
        <w:rPr>
          <w:sz w:val="18"/>
        </w:rPr>
        <w:t>to be successfully implemented, there needs to be </w:t>
      </w:r>
      <w:r>
        <w:rPr>
          <w:b/>
          <w:sz w:val="18"/>
        </w:rPr>
        <w:t>a paradigm shift in the role of Government</w:t>
      </w:r>
      <w:r>
        <w:rPr>
          <w:sz w:val="18"/>
        </w:rPr>
        <w:t>. </w:t>
      </w:r>
      <w:r>
        <w:rPr>
          <w:i/>
          <w:sz w:val="18"/>
        </w:rPr>
        <w:t>Our Way </w:t>
      </w:r>
      <w:r>
        <w:rPr>
          <w:sz w:val="18"/>
        </w:rPr>
        <w:t>advocates for greater family-led decision making. To achieve this, </w:t>
      </w:r>
      <w:r>
        <w:rPr>
          <w:b/>
          <w:sz w:val="18"/>
        </w:rPr>
        <w:t>the Government must be willing to relinquish control over key decisions in order to promote self-determination and support the safety, wellbeing and connection of Aboriginal and Torres Strait Islander children and families</w:t>
      </w:r>
      <w:r>
        <w:rPr>
          <w:sz w:val="18"/>
        </w:rPr>
        <w:t>.</w:t>
      </w:r>
    </w:p>
    <w:p>
      <w:pPr>
        <w:pStyle w:val="BodyText"/>
        <w:spacing w:line="264" w:lineRule="auto" w:before="167"/>
        <w:ind w:left="320" w:right="135"/>
      </w:pPr>
      <w:r>
        <w:rPr/>
        <w:t>It is commendable that some government agencies are recalibrating existing policy and practice to incorporate greater co-design and community-led decision making. Positive systems change – as originally intended in the design of </w:t>
      </w:r>
      <w:r>
        <w:rPr>
          <w:i/>
        </w:rPr>
        <w:t>Our Way </w:t>
      </w:r>
      <w:r>
        <w:rPr/>
        <w:t>– requires these changes to occur at a larger and more consistent scale across all agencies. To achieve this, it is recommended that:</w:t>
      </w:r>
    </w:p>
    <w:p>
      <w:pPr>
        <w:pStyle w:val="ListParagraph"/>
        <w:numPr>
          <w:ilvl w:val="1"/>
          <w:numId w:val="52"/>
        </w:numPr>
        <w:tabs>
          <w:tab w:pos="681" w:val="left" w:leader="none"/>
        </w:tabs>
        <w:spacing w:line="264" w:lineRule="auto" w:before="165" w:after="0"/>
        <w:ind w:left="680" w:right="315" w:hanging="360"/>
        <w:jc w:val="left"/>
        <w:rPr>
          <w:sz w:val="18"/>
        </w:rPr>
      </w:pPr>
      <w:r>
        <w:rPr>
          <w:sz w:val="18"/>
        </w:rPr>
        <w:t>All government agencies should revisit their existing, policy, legislation and strategies and develop plans to address policy / legislation / strategies that do not align with </w:t>
      </w:r>
      <w:r>
        <w:rPr>
          <w:i/>
          <w:sz w:val="18"/>
        </w:rPr>
        <w:t>Our Way</w:t>
      </w:r>
      <w:r>
        <w:rPr>
          <w:sz w:val="18"/>
        </w:rPr>
        <w:t>’s key principles within a specified timeframe. For some agencies, the current ways of working and implementing actions are insufficient to deliver the required changes. There should be clear mechanisms to identify and remedy these</w:t>
      </w:r>
      <w:r>
        <w:rPr>
          <w:spacing w:val="-10"/>
          <w:sz w:val="18"/>
        </w:rPr>
        <w:t> </w:t>
      </w:r>
      <w:r>
        <w:rPr>
          <w:sz w:val="18"/>
        </w:rPr>
        <w:t>misalignments.</w:t>
      </w:r>
    </w:p>
    <w:p>
      <w:pPr>
        <w:pStyle w:val="ListParagraph"/>
        <w:numPr>
          <w:ilvl w:val="1"/>
          <w:numId w:val="52"/>
        </w:numPr>
        <w:tabs>
          <w:tab w:pos="679" w:val="left" w:leader="none"/>
        </w:tabs>
        <w:spacing w:line="264" w:lineRule="auto" w:before="168" w:after="0"/>
        <w:ind w:left="603" w:right="363" w:hanging="284"/>
        <w:jc w:val="left"/>
        <w:rPr>
          <w:sz w:val="18"/>
        </w:rPr>
      </w:pPr>
      <w:r>
        <w:rPr>
          <w:sz w:val="18"/>
        </w:rPr>
        <w:t>Utilise the Theory of Change and program logic model (see Section </w:t>
      </w:r>
      <w:hyperlink w:history="true" w:anchor="_bookmark82">
        <w:r>
          <w:rPr>
            <w:sz w:val="18"/>
          </w:rPr>
          <w:t>6.1 </w:t>
        </w:r>
      </w:hyperlink>
      <w:r>
        <w:rPr>
          <w:sz w:val="18"/>
        </w:rPr>
        <w:t>and </w:t>
      </w:r>
      <w:hyperlink w:history="true" w:anchor="_bookmark91">
        <w:r>
          <w:rPr>
            <w:sz w:val="18"/>
          </w:rPr>
          <w:t>6.2</w:t>
        </w:r>
      </w:hyperlink>
      <w:r>
        <w:rPr>
          <w:sz w:val="18"/>
        </w:rPr>
        <w:t>) to influence design of actions to achieve the common goal articulated in </w:t>
      </w:r>
      <w:r>
        <w:rPr>
          <w:i/>
          <w:sz w:val="18"/>
        </w:rPr>
        <w:t>Our Way</w:t>
      </w:r>
      <w:r>
        <w:rPr>
          <w:sz w:val="18"/>
        </w:rPr>
        <w:t>. Importantly, the outcomes articulated in the program logic model reflects the shared responsibility of</w:t>
      </w:r>
      <w:r>
        <w:rPr>
          <w:spacing w:val="-24"/>
          <w:sz w:val="18"/>
        </w:rPr>
        <w:t> </w:t>
      </w:r>
      <w:r>
        <w:rPr>
          <w:sz w:val="18"/>
        </w:rPr>
        <w:t>the</w:t>
      </w:r>
    </w:p>
    <w:p>
      <w:pPr>
        <w:spacing w:after="0" w:line="264" w:lineRule="auto"/>
        <w:jc w:val="left"/>
        <w:rPr>
          <w:sz w:val="18"/>
        </w:rPr>
        <w:sectPr>
          <w:headerReference w:type="default" r:id="rId86"/>
          <w:footerReference w:type="default" r:id="rId87"/>
          <w:pgSz w:w="11910" w:h="16840"/>
          <w:pgMar w:header="650" w:footer="420" w:top="1340" w:bottom="620" w:left="1120" w:right="1340"/>
          <w:pgNumType w:start="62"/>
        </w:sectPr>
      </w:pPr>
    </w:p>
    <w:p>
      <w:pPr>
        <w:pStyle w:val="BodyText"/>
        <w:spacing w:line="264" w:lineRule="auto" w:before="111"/>
        <w:ind w:left="603" w:right="243"/>
      </w:pPr>
      <w:r>
        <w:rPr/>
        <w:t>different system stakeholders. A mechanism to design bolder and more transformative actions (rather than leveraging on existing initiatives that are already in place) may be required to achieve the outcomes articulated.</w:t>
      </w:r>
    </w:p>
    <w:p>
      <w:pPr>
        <w:pStyle w:val="ListParagraph"/>
        <w:numPr>
          <w:ilvl w:val="1"/>
          <w:numId w:val="52"/>
        </w:numPr>
        <w:tabs>
          <w:tab w:pos="679" w:val="left" w:leader="none"/>
        </w:tabs>
        <w:spacing w:line="264" w:lineRule="auto" w:before="169" w:after="0"/>
        <w:ind w:left="603" w:right="163" w:hanging="284"/>
        <w:jc w:val="left"/>
        <w:rPr>
          <w:sz w:val="18"/>
        </w:rPr>
      </w:pPr>
      <w:r>
        <w:rPr>
          <w:sz w:val="18"/>
        </w:rPr>
        <w:t>Establish transparent and regular reporting mechanisms to the Queensland First Children and Families Board on the implementation progress and remediation activity required. Given that the outcomes of Aboriginal and Torres Strait Islander children and young people are the central focus of </w:t>
      </w:r>
      <w:r>
        <w:rPr>
          <w:i/>
          <w:sz w:val="18"/>
        </w:rPr>
        <w:t>Our Way</w:t>
      </w:r>
      <w:r>
        <w:rPr>
          <w:sz w:val="18"/>
        </w:rPr>
        <w:t>, there should be clear reporting mechanisms on the progress across different socioeconomic determinants which influence their life outcomes (such as access to safe housing, early childhood education, nutrition and quality</w:t>
      </w:r>
      <w:r>
        <w:rPr>
          <w:spacing w:val="-13"/>
          <w:sz w:val="18"/>
        </w:rPr>
        <w:t> </w:t>
      </w:r>
      <w:r>
        <w:rPr>
          <w:sz w:val="18"/>
        </w:rPr>
        <w:t>healthcare).</w:t>
      </w:r>
    </w:p>
    <w:p>
      <w:pPr>
        <w:pStyle w:val="ListParagraph"/>
        <w:numPr>
          <w:ilvl w:val="1"/>
          <w:numId w:val="52"/>
        </w:numPr>
        <w:tabs>
          <w:tab w:pos="679" w:val="left" w:leader="none"/>
        </w:tabs>
        <w:spacing w:line="264" w:lineRule="auto" w:before="166" w:after="0"/>
        <w:ind w:left="603" w:right="397" w:hanging="284"/>
        <w:jc w:val="left"/>
        <w:rPr>
          <w:sz w:val="18"/>
        </w:rPr>
      </w:pPr>
      <w:r>
        <w:rPr/>
        <w:drawing>
          <wp:anchor distT="0" distB="0" distL="0" distR="0" allowOverlap="1" layoutInCell="1" locked="0" behindDoc="0" simplePos="0" relativeHeight="251819008">
            <wp:simplePos x="0" y="0"/>
            <wp:positionH relativeFrom="page">
              <wp:posOffset>774711</wp:posOffset>
            </wp:positionH>
            <wp:positionV relativeFrom="paragraph">
              <wp:posOffset>810366</wp:posOffset>
            </wp:positionV>
            <wp:extent cx="462801" cy="455094"/>
            <wp:effectExtent l="0" t="0" r="0" b="0"/>
            <wp:wrapNone/>
            <wp:docPr id="73" name="image30.jpeg"/>
            <wp:cNvGraphicFramePr>
              <a:graphicFrameLocks noChangeAspect="1"/>
            </wp:cNvGraphicFramePr>
            <a:graphic>
              <a:graphicData uri="http://schemas.openxmlformats.org/drawingml/2006/picture">
                <pic:pic>
                  <pic:nvPicPr>
                    <pic:cNvPr id="74" name="image30.jpeg"/>
                    <pic:cNvPicPr/>
                  </pic:nvPicPr>
                  <pic:blipFill>
                    <a:blip r:embed="rId44" cstate="print"/>
                    <a:stretch>
                      <a:fillRect/>
                    </a:stretch>
                  </pic:blipFill>
                  <pic:spPr>
                    <a:xfrm>
                      <a:off x="0" y="0"/>
                      <a:ext cx="462801" cy="455094"/>
                    </a:xfrm>
                    <a:prstGeom prst="rect">
                      <a:avLst/>
                    </a:prstGeom>
                  </pic:spPr>
                </pic:pic>
              </a:graphicData>
            </a:graphic>
          </wp:anchor>
        </w:drawing>
      </w:r>
      <w:r>
        <w:rPr>
          <w:sz w:val="18"/>
        </w:rPr>
        <w:t>Identify opportunities to better embed First Nations voice in leadership, governance, service planning and decision making. This includes strategies to increase the representation of Aboriginal and Torres Strait Islander people in government leadership and policy decision making</w:t>
      </w:r>
      <w:r>
        <w:rPr>
          <w:spacing w:val="-2"/>
          <w:sz w:val="18"/>
        </w:rPr>
        <w:t> </w:t>
      </w:r>
      <w:r>
        <w:rPr>
          <w:sz w:val="18"/>
        </w:rPr>
        <w:t>processes.</w:t>
      </w:r>
    </w:p>
    <w:p>
      <w:pPr>
        <w:pStyle w:val="BodyText"/>
        <w:spacing w:before="10"/>
        <w:rPr>
          <w:sz w:val="32"/>
        </w:rPr>
      </w:pPr>
    </w:p>
    <w:p>
      <w:pPr>
        <w:pStyle w:val="Heading4"/>
        <w:numPr>
          <w:ilvl w:val="0"/>
          <w:numId w:val="51"/>
        </w:numPr>
        <w:tabs>
          <w:tab w:pos="1302" w:val="left" w:leader="none"/>
        </w:tabs>
        <w:spacing w:line="240" w:lineRule="auto" w:before="0" w:after="0"/>
        <w:ind w:left="1302" w:right="0" w:hanging="358"/>
        <w:jc w:val="left"/>
      </w:pPr>
      <w:r>
        <w:rPr>
          <w:color w:val="EC8A00"/>
        </w:rPr>
        <w:t>Support the sustainable development of the community-controlled</w:t>
      </w:r>
      <w:r>
        <w:rPr>
          <w:color w:val="EC8A00"/>
          <w:spacing w:val="-8"/>
        </w:rPr>
        <w:t> </w:t>
      </w:r>
      <w:r>
        <w:rPr>
          <w:color w:val="EC8A00"/>
        </w:rPr>
        <w:t>sector</w:t>
      </w:r>
    </w:p>
    <w:p>
      <w:pPr>
        <w:pStyle w:val="BodyText"/>
        <w:rPr>
          <w:b/>
          <w:sz w:val="22"/>
        </w:rPr>
      </w:pPr>
    </w:p>
    <w:p>
      <w:pPr>
        <w:pStyle w:val="BodyText"/>
        <w:spacing w:line="264" w:lineRule="auto" w:before="172"/>
        <w:ind w:left="320" w:right="146"/>
      </w:pPr>
      <w:r>
        <w:rPr/>
        <w:t>The successful transformative change articulated above can only be achieved if it is accompanied with concerted efforts to develop the community-controlled sector in a more sustainable manner. This evaluation has identified some variation in the existing capability of different ACCOs; and the need to develop a clear transition plan to invest in strengthening the community-controlled sector. QATSICPP will play an important role in leading this work. It is recommended that:</w:t>
      </w:r>
    </w:p>
    <w:p>
      <w:pPr>
        <w:pStyle w:val="ListParagraph"/>
        <w:numPr>
          <w:ilvl w:val="1"/>
          <w:numId w:val="53"/>
        </w:numPr>
        <w:tabs>
          <w:tab w:pos="681" w:val="left" w:leader="none"/>
        </w:tabs>
        <w:spacing w:line="264" w:lineRule="auto" w:before="167" w:after="0"/>
        <w:ind w:left="680" w:right="224" w:hanging="360"/>
        <w:jc w:val="left"/>
        <w:rPr>
          <w:sz w:val="18"/>
        </w:rPr>
      </w:pPr>
      <w:r>
        <w:rPr>
          <w:sz w:val="18"/>
        </w:rPr>
        <w:t>The Government, in partnership with QATSICPP and other sector peaks develop a clear strategy and implementation plan to support investments in transition planning and capability development of the community-controlled sector. In line with the expected transfer in responsibilities, government agencies should be working in genuine partnership with ACCOs and non-indigenous child and family organisations to improve the sector’s capability across a range of areas, including governance arrangements and workforce development. This ensures that ACCOs are set up to succeed from the</w:t>
      </w:r>
      <w:r>
        <w:rPr>
          <w:spacing w:val="-5"/>
          <w:sz w:val="18"/>
        </w:rPr>
        <w:t> </w:t>
      </w:r>
      <w:r>
        <w:rPr>
          <w:sz w:val="18"/>
        </w:rPr>
        <w:t>start.</w:t>
      </w:r>
    </w:p>
    <w:p>
      <w:pPr>
        <w:pStyle w:val="ListParagraph"/>
        <w:numPr>
          <w:ilvl w:val="1"/>
          <w:numId w:val="53"/>
        </w:numPr>
        <w:tabs>
          <w:tab w:pos="681" w:val="left" w:leader="none"/>
        </w:tabs>
        <w:spacing w:line="264" w:lineRule="auto" w:before="0" w:after="0"/>
        <w:ind w:left="680" w:right="117" w:hanging="360"/>
        <w:jc w:val="left"/>
        <w:rPr>
          <w:sz w:val="18"/>
        </w:rPr>
      </w:pPr>
      <w:r>
        <w:rPr>
          <w:sz w:val="18"/>
        </w:rPr>
        <w:t>Support ACCOs’ ability to innovate and scale successful approaches. ACCOs must be provided the opportunity and space to innovate their service delivery to better meet the needs of Aboriginal and Torres Strait Islander communities. This can be achieved through the funding of pilots. Successful pilots can be funded and scaled to more locations. The need to trust and empower ACCOs is illustrated in the following stakeholder quote - </w:t>
      </w:r>
      <w:r>
        <w:rPr>
          <w:color w:val="85BB24"/>
          <w:sz w:val="18"/>
        </w:rPr>
        <w:t>“</w:t>
      </w:r>
      <w:r>
        <w:rPr>
          <w:i/>
          <w:color w:val="85BB24"/>
          <w:sz w:val="18"/>
        </w:rPr>
        <w:t>the Government should </w:t>
      </w:r>
      <w:r>
        <w:rPr>
          <w:i/>
          <w:color w:val="85BB24"/>
          <w:sz w:val="18"/>
        </w:rPr>
        <w:t>take a leap of faith and support ACCOs. ACCOs know their people in a way that we would not possibly</w:t>
      </w:r>
      <w:r>
        <w:rPr>
          <w:i/>
          <w:color w:val="85BB24"/>
          <w:spacing w:val="-3"/>
          <w:sz w:val="18"/>
        </w:rPr>
        <w:t> </w:t>
      </w:r>
      <w:r>
        <w:rPr>
          <w:i/>
          <w:color w:val="85BB24"/>
          <w:sz w:val="18"/>
        </w:rPr>
        <w:t>know</w:t>
      </w:r>
      <w:r>
        <w:rPr>
          <w:color w:val="85BB24"/>
          <w:sz w:val="18"/>
        </w:rPr>
        <w:t>”.</w:t>
      </w:r>
    </w:p>
    <w:p>
      <w:pPr>
        <w:pStyle w:val="ListParagraph"/>
        <w:numPr>
          <w:ilvl w:val="1"/>
          <w:numId w:val="53"/>
        </w:numPr>
        <w:tabs>
          <w:tab w:pos="681" w:val="left" w:leader="none"/>
        </w:tabs>
        <w:spacing w:line="264" w:lineRule="auto" w:before="0" w:after="0"/>
        <w:ind w:left="680" w:right="253" w:hanging="360"/>
        <w:jc w:val="left"/>
        <w:rPr>
          <w:sz w:val="18"/>
        </w:rPr>
      </w:pPr>
      <w:r>
        <w:rPr/>
        <w:drawing>
          <wp:anchor distT="0" distB="0" distL="0" distR="0" allowOverlap="1" layoutInCell="1" locked="0" behindDoc="0" simplePos="0" relativeHeight="251817984">
            <wp:simplePos x="0" y="0"/>
            <wp:positionH relativeFrom="page">
              <wp:posOffset>935612</wp:posOffset>
            </wp:positionH>
            <wp:positionV relativeFrom="paragraph">
              <wp:posOffset>577813</wp:posOffset>
            </wp:positionV>
            <wp:extent cx="487892" cy="459374"/>
            <wp:effectExtent l="0" t="0" r="0" b="0"/>
            <wp:wrapNone/>
            <wp:docPr id="75" name="image31.jpeg"/>
            <wp:cNvGraphicFramePr>
              <a:graphicFrameLocks noChangeAspect="1"/>
            </wp:cNvGraphicFramePr>
            <a:graphic>
              <a:graphicData uri="http://schemas.openxmlformats.org/drawingml/2006/picture">
                <pic:pic>
                  <pic:nvPicPr>
                    <pic:cNvPr id="76" name="image31.jpeg"/>
                    <pic:cNvPicPr/>
                  </pic:nvPicPr>
                  <pic:blipFill>
                    <a:blip r:embed="rId45" cstate="print"/>
                    <a:stretch>
                      <a:fillRect/>
                    </a:stretch>
                  </pic:blipFill>
                  <pic:spPr>
                    <a:xfrm>
                      <a:off x="0" y="0"/>
                      <a:ext cx="487892" cy="459374"/>
                    </a:xfrm>
                    <a:prstGeom prst="rect">
                      <a:avLst/>
                    </a:prstGeom>
                  </pic:spPr>
                </pic:pic>
              </a:graphicData>
            </a:graphic>
          </wp:anchor>
        </w:drawing>
      </w:r>
      <w:r>
        <w:rPr>
          <w:sz w:val="18"/>
        </w:rPr>
        <w:t>Ensure funding arrangements are recalibrated to reflect the trust and empowerment of the community-controlled sector. The adequacy and structure of funding arrangements should be aligned with the complexity of work that ACCOs are tasked to</w:t>
      </w:r>
      <w:r>
        <w:rPr>
          <w:spacing w:val="-13"/>
          <w:sz w:val="18"/>
        </w:rPr>
        <w:t> </w:t>
      </w:r>
      <w:r>
        <w:rPr>
          <w:sz w:val="18"/>
        </w:rPr>
        <w:t>do.</w:t>
      </w:r>
    </w:p>
    <w:p>
      <w:pPr>
        <w:pStyle w:val="BodyText"/>
        <w:rPr>
          <w:sz w:val="32"/>
        </w:rPr>
      </w:pPr>
    </w:p>
    <w:p>
      <w:pPr>
        <w:pStyle w:val="Heading4"/>
        <w:numPr>
          <w:ilvl w:val="0"/>
          <w:numId w:val="51"/>
        </w:numPr>
        <w:tabs>
          <w:tab w:pos="1727" w:val="left" w:leader="none"/>
        </w:tabs>
        <w:spacing w:line="240" w:lineRule="auto" w:before="0" w:after="0"/>
        <w:ind w:left="1726" w:right="0" w:hanging="358"/>
        <w:jc w:val="left"/>
      </w:pPr>
      <w:r>
        <w:rPr>
          <w:color w:val="EC8A00"/>
        </w:rPr>
        <w:t>Re-orientation of government</w:t>
      </w:r>
      <w:r>
        <w:rPr>
          <w:color w:val="EC8A00"/>
          <w:spacing w:val="-4"/>
        </w:rPr>
        <w:t> </w:t>
      </w:r>
      <w:r>
        <w:rPr>
          <w:color w:val="EC8A00"/>
        </w:rPr>
        <w:t>mechanisms</w:t>
      </w:r>
    </w:p>
    <w:p>
      <w:pPr>
        <w:pStyle w:val="BodyText"/>
        <w:rPr>
          <w:b/>
          <w:sz w:val="22"/>
        </w:rPr>
      </w:pPr>
    </w:p>
    <w:p>
      <w:pPr>
        <w:pStyle w:val="BodyText"/>
        <w:spacing w:before="5"/>
        <w:rPr>
          <w:b/>
          <w:sz w:val="19"/>
        </w:rPr>
      </w:pPr>
    </w:p>
    <w:p>
      <w:pPr>
        <w:pStyle w:val="BodyText"/>
        <w:spacing w:line="264" w:lineRule="auto"/>
        <w:ind w:left="320" w:right="86"/>
      </w:pPr>
      <w:r>
        <w:rPr/>
        <w:t>The Government can build on earlier successes and continue re-orienting its mechanisms to ensure that current policy, processes and practice are aligned with the ongoing transformational change advocated by </w:t>
      </w:r>
      <w:r>
        <w:rPr>
          <w:i/>
        </w:rPr>
        <w:t>Our Way</w:t>
      </w:r>
      <w:r>
        <w:rPr/>
        <w:t>. This can be achieved through the following recommended steps:</w:t>
      </w:r>
    </w:p>
    <w:p>
      <w:pPr>
        <w:pStyle w:val="ListParagraph"/>
        <w:numPr>
          <w:ilvl w:val="1"/>
          <w:numId w:val="54"/>
        </w:numPr>
        <w:tabs>
          <w:tab w:pos="681" w:val="left" w:leader="none"/>
        </w:tabs>
        <w:spacing w:line="264" w:lineRule="auto" w:before="169" w:after="0"/>
        <w:ind w:left="680" w:right="234" w:hanging="360"/>
        <w:jc w:val="left"/>
        <w:rPr>
          <w:sz w:val="18"/>
        </w:rPr>
      </w:pPr>
      <w:r>
        <w:rPr>
          <w:sz w:val="18"/>
        </w:rPr>
        <w:t>Acknowledge systemic racism that continues to exist within the system. The Government should publicly acknowledge and challenge unconscious biases that continue to influence decision making. There should be transparent reporting mechanisms of ongoing efforts to highlight this issue and concerted steps to address them (e.g., an annual survey which captures the experiences of Aboriginal and Torres Strait Islander peoples who access frontline services; and the extent to which systemic racism continues to exist within the</w:t>
      </w:r>
      <w:r>
        <w:rPr>
          <w:spacing w:val="-23"/>
          <w:sz w:val="18"/>
        </w:rPr>
        <w:t> </w:t>
      </w:r>
      <w:r>
        <w:rPr>
          <w:sz w:val="18"/>
        </w:rPr>
        <w:t>system).</w:t>
      </w:r>
    </w:p>
    <w:p>
      <w:pPr>
        <w:pStyle w:val="ListParagraph"/>
        <w:numPr>
          <w:ilvl w:val="1"/>
          <w:numId w:val="54"/>
        </w:numPr>
        <w:tabs>
          <w:tab w:pos="681" w:val="left" w:leader="none"/>
        </w:tabs>
        <w:spacing w:line="264" w:lineRule="auto" w:before="0" w:after="0"/>
        <w:ind w:left="680" w:right="271" w:hanging="360"/>
        <w:jc w:val="left"/>
        <w:rPr>
          <w:sz w:val="18"/>
        </w:rPr>
      </w:pPr>
      <w:r>
        <w:rPr>
          <w:sz w:val="18"/>
        </w:rPr>
        <w:t>Prioritise strengthening the cultural competency of those who work in non-Indigenous organisations. The Government can consider delivering regular professional development</w:t>
      </w:r>
      <w:r>
        <w:rPr>
          <w:spacing w:val="-30"/>
          <w:sz w:val="18"/>
        </w:rPr>
        <w:t> </w:t>
      </w:r>
      <w:r>
        <w:rPr>
          <w:sz w:val="18"/>
        </w:rPr>
        <w:t>and</w:t>
      </w:r>
    </w:p>
    <w:p>
      <w:pPr>
        <w:spacing w:after="0" w:line="264" w:lineRule="auto"/>
        <w:jc w:val="left"/>
        <w:rPr>
          <w:sz w:val="18"/>
        </w:rPr>
        <w:sectPr>
          <w:pgSz w:w="11910" w:h="16840"/>
          <w:pgMar w:header="650" w:footer="420" w:top="1340" w:bottom="620" w:left="1120" w:right="1340"/>
        </w:sectPr>
      </w:pPr>
    </w:p>
    <w:p>
      <w:pPr>
        <w:pStyle w:val="BodyText"/>
        <w:spacing w:line="264" w:lineRule="auto" w:before="111"/>
        <w:ind w:left="680" w:right="399"/>
      </w:pPr>
      <w:r>
        <w:rPr/>
        <w:t>induction training sessions on how to change their current ways of working to align with the Child Placement Principle and </w:t>
      </w:r>
      <w:r>
        <w:rPr>
          <w:i/>
        </w:rPr>
        <w:t>Our Way</w:t>
      </w:r>
      <w:r>
        <w:rPr/>
        <w:t>’s key principles.</w:t>
      </w:r>
    </w:p>
    <w:p>
      <w:pPr>
        <w:pStyle w:val="ListParagraph"/>
        <w:numPr>
          <w:ilvl w:val="1"/>
          <w:numId w:val="54"/>
        </w:numPr>
        <w:tabs>
          <w:tab w:pos="681" w:val="left" w:leader="none"/>
        </w:tabs>
        <w:spacing w:line="264" w:lineRule="auto" w:before="0" w:after="0"/>
        <w:ind w:left="680" w:right="462" w:hanging="360"/>
        <w:jc w:val="left"/>
        <w:rPr>
          <w:sz w:val="18"/>
        </w:rPr>
      </w:pPr>
      <w:r>
        <w:rPr>
          <w:sz w:val="18"/>
        </w:rPr>
        <w:t>Strengthen accountability mechanisms to hold all government and non-government service providers accountable to positive life outcomes for Aboriginal and Torres Strait Islander children. These mechanisms could be in the form</w:t>
      </w:r>
      <w:r>
        <w:rPr>
          <w:spacing w:val="-10"/>
          <w:sz w:val="18"/>
        </w:rPr>
        <w:t> </w:t>
      </w:r>
      <w:r>
        <w:rPr>
          <w:sz w:val="18"/>
        </w:rPr>
        <w:t>of:</w:t>
      </w:r>
    </w:p>
    <w:p>
      <w:pPr>
        <w:pStyle w:val="ListParagraph"/>
        <w:numPr>
          <w:ilvl w:val="2"/>
          <w:numId w:val="54"/>
        </w:numPr>
        <w:tabs>
          <w:tab w:pos="1314" w:val="left" w:leader="none"/>
        </w:tabs>
        <w:spacing w:line="264" w:lineRule="auto" w:before="0" w:after="0"/>
        <w:ind w:left="1314" w:right="392" w:hanging="569"/>
        <w:jc w:val="left"/>
        <w:rPr>
          <w:sz w:val="18"/>
        </w:rPr>
      </w:pPr>
      <w:r>
        <w:rPr>
          <w:sz w:val="18"/>
        </w:rPr>
        <w:t>Explicit KPIs for all public sector workers – including frontline workers, regional directors and Director Generals. The KPIs could focus on key indicators related to specific life outcomes of Aboriginal and Torres Strait Islander children and the over- representation of Aboriginal and Torres Strait Islander children in the child protection system.</w:t>
      </w:r>
    </w:p>
    <w:p>
      <w:pPr>
        <w:pStyle w:val="ListParagraph"/>
        <w:numPr>
          <w:ilvl w:val="2"/>
          <w:numId w:val="54"/>
        </w:numPr>
        <w:tabs>
          <w:tab w:pos="1314" w:val="left" w:leader="none"/>
        </w:tabs>
        <w:spacing w:line="264" w:lineRule="auto" w:before="0" w:after="0"/>
        <w:ind w:left="1314" w:right="455" w:hanging="569"/>
        <w:jc w:val="left"/>
        <w:rPr>
          <w:sz w:val="18"/>
        </w:rPr>
      </w:pPr>
      <w:r>
        <w:rPr>
          <w:sz w:val="18"/>
        </w:rPr>
        <w:t>Feedback from Aboriginal and Torres Strait Islander peoples on the performance of public sector organisations. This would involve soliciting feedback on an individual agency’s performance from Elders / Aboriginal and Torres Strait Islander community representatives as part of annual performance monitoring</w:t>
      </w:r>
      <w:r>
        <w:rPr>
          <w:spacing w:val="-11"/>
          <w:sz w:val="18"/>
        </w:rPr>
        <w:t> </w:t>
      </w:r>
      <w:r>
        <w:rPr>
          <w:sz w:val="18"/>
        </w:rPr>
        <w:t>measures.</w:t>
      </w:r>
    </w:p>
    <w:p>
      <w:pPr>
        <w:pStyle w:val="ListParagraph"/>
        <w:numPr>
          <w:ilvl w:val="2"/>
          <w:numId w:val="54"/>
        </w:numPr>
        <w:tabs>
          <w:tab w:pos="1314" w:val="left" w:leader="none"/>
        </w:tabs>
        <w:spacing w:line="264" w:lineRule="auto" w:before="0" w:after="0"/>
        <w:ind w:left="1314" w:right="257" w:hanging="569"/>
        <w:jc w:val="both"/>
        <w:rPr>
          <w:sz w:val="18"/>
        </w:rPr>
      </w:pPr>
      <w:r>
        <w:rPr>
          <w:sz w:val="18"/>
        </w:rPr>
        <w:t>Linking funding access to the extent to which frontline agencies have implemented the Child Placement Principle. This would serve as an additional incentive to better embed cultural change among implementing</w:t>
      </w:r>
      <w:r>
        <w:rPr>
          <w:spacing w:val="-4"/>
          <w:sz w:val="18"/>
        </w:rPr>
        <w:t> </w:t>
      </w:r>
      <w:r>
        <w:rPr>
          <w:sz w:val="18"/>
        </w:rPr>
        <w:t>agencies.</w:t>
      </w:r>
    </w:p>
    <w:p>
      <w:pPr>
        <w:pStyle w:val="ListParagraph"/>
        <w:numPr>
          <w:ilvl w:val="1"/>
          <w:numId w:val="54"/>
        </w:numPr>
        <w:tabs>
          <w:tab w:pos="681" w:val="left" w:leader="none"/>
        </w:tabs>
        <w:spacing w:line="264" w:lineRule="auto" w:before="0" w:after="0"/>
        <w:ind w:left="680" w:right="127" w:hanging="360"/>
        <w:jc w:val="left"/>
        <w:rPr>
          <w:sz w:val="18"/>
        </w:rPr>
      </w:pPr>
      <w:r>
        <w:rPr/>
        <w:drawing>
          <wp:anchor distT="0" distB="0" distL="0" distR="0" allowOverlap="1" layoutInCell="1" locked="0" behindDoc="0" simplePos="0" relativeHeight="251820032">
            <wp:simplePos x="0" y="0"/>
            <wp:positionH relativeFrom="page">
              <wp:posOffset>929466</wp:posOffset>
            </wp:positionH>
            <wp:positionV relativeFrom="paragraph">
              <wp:posOffset>729074</wp:posOffset>
            </wp:positionV>
            <wp:extent cx="472093" cy="445373"/>
            <wp:effectExtent l="0" t="0" r="0" b="0"/>
            <wp:wrapNone/>
            <wp:docPr id="77" name="image32.jpeg"/>
            <wp:cNvGraphicFramePr>
              <a:graphicFrameLocks noChangeAspect="1"/>
            </wp:cNvGraphicFramePr>
            <a:graphic>
              <a:graphicData uri="http://schemas.openxmlformats.org/drawingml/2006/picture">
                <pic:pic>
                  <pic:nvPicPr>
                    <pic:cNvPr id="78" name="image32.jpeg"/>
                    <pic:cNvPicPr/>
                  </pic:nvPicPr>
                  <pic:blipFill>
                    <a:blip r:embed="rId46" cstate="print"/>
                    <a:stretch>
                      <a:fillRect/>
                    </a:stretch>
                  </pic:blipFill>
                  <pic:spPr>
                    <a:xfrm>
                      <a:off x="0" y="0"/>
                      <a:ext cx="472093" cy="445373"/>
                    </a:xfrm>
                    <a:prstGeom prst="rect">
                      <a:avLst/>
                    </a:prstGeom>
                  </pic:spPr>
                </pic:pic>
              </a:graphicData>
            </a:graphic>
          </wp:anchor>
        </w:drawing>
      </w:r>
      <w:r>
        <w:rPr>
          <w:sz w:val="18"/>
        </w:rPr>
        <w:t>Actively value Aboriginal and Torres Strait Islander culture, knowledge, history and experiences. The Government should move away from the traditional problem-based paradigm and instead, adopt a strengths-based approach which celebrates the resilience and strength of Aboriginal and Torres Strait Islander</w:t>
      </w:r>
      <w:r>
        <w:rPr>
          <w:spacing w:val="-4"/>
          <w:sz w:val="18"/>
        </w:rPr>
        <w:t> </w:t>
      </w:r>
      <w:r>
        <w:rPr>
          <w:sz w:val="18"/>
        </w:rPr>
        <w:t>communities.</w:t>
      </w:r>
    </w:p>
    <w:p>
      <w:pPr>
        <w:pStyle w:val="BodyText"/>
        <w:rPr>
          <w:sz w:val="22"/>
        </w:rPr>
      </w:pPr>
    </w:p>
    <w:p>
      <w:pPr>
        <w:pStyle w:val="Heading4"/>
        <w:numPr>
          <w:ilvl w:val="0"/>
          <w:numId w:val="51"/>
        </w:numPr>
        <w:tabs>
          <w:tab w:pos="1566" w:val="left" w:leader="none"/>
        </w:tabs>
        <w:spacing w:line="240" w:lineRule="auto" w:before="138" w:after="0"/>
        <w:ind w:left="1566" w:right="0" w:hanging="358"/>
        <w:jc w:val="left"/>
        <w:rPr>
          <w:i/>
        </w:rPr>
      </w:pPr>
      <w:r>
        <w:rPr>
          <w:color w:val="EC8A00"/>
        </w:rPr>
        <w:t>Engender greater whole-of-system commitment to achieve </w:t>
      </w:r>
      <w:r>
        <w:rPr>
          <w:i/>
          <w:color w:val="EC8A00"/>
        </w:rPr>
        <w:t>Our</w:t>
      </w:r>
      <w:r>
        <w:rPr>
          <w:i/>
          <w:color w:val="EC8A00"/>
          <w:spacing w:val="-27"/>
        </w:rPr>
        <w:t> </w:t>
      </w:r>
      <w:r>
        <w:rPr>
          <w:i/>
          <w:color w:val="EC8A00"/>
        </w:rPr>
        <w:t>Way’s</w:t>
      </w:r>
    </w:p>
    <w:p>
      <w:pPr>
        <w:spacing w:before="21"/>
        <w:ind w:left="1566" w:right="0" w:firstLine="0"/>
        <w:jc w:val="left"/>
        <w:rPr>
          <w:b/>
          <w:sz w:val="18"/>
        </w:rPr>
      </w:pPr>
      <w:r>
        <w:rPr>
          <w:b/>
          <w:color w:val="EC8A00"/>
          <w:sz w:val="18"/>
        </w:rPr>
        <w:t>objectives</w:t>
      </w:r>
    </w:p>
    <w:p>
      <w:pPr>
        <w:pStyle w:val="BodyText"/>
        <w:rPr>
          <w:b/>
          <w:sz w:val="22"/>
        </w:rPr>
      </w:pPr>
    </w:p>
    <w:p>
      <w:pPr>
        <w:pStyle w:val="BodyText"/>
        <w:spacing w:before="6"/>
        <w:rPr>
          <w:b/>
          <w:sz w:val="16"/>
        </w:rPr>
      </w:pPr>
    </w:p>
    <w:p>
      <w:pPr>
        <w:pStyle w:val="BodyText"/>
        <w:spacing w:line="264" w:lineRule="auto"/>
        <w:ind w:left="320" w:right="262"/>
      </w:pPr>
      <w:r>
        <w:rPr>
          <w:i/>
        </w:rPr>
        <w:t>Our Way </w:t>
      </w:r>
      <w:r>
        <w:rPr/>
        <w:t>is ultimately a whole-of-system strategy. DCYJMA and selected partner agencies have made significant strides in progressing the implementation of </w:t>
      </w:r>
      <w:r>
        <w:rPr>
          <w:i/>
        </w:rPr>
        <w:t>Our Way</w:t>
      </w:r>
      <w:r>
        <w:rPr/>
        <w:t>. However, to achieve the transformative change articulated in </w:t>
      </w:r>
      <w:r>
        <w:rPr>
          <w:i/>
        </w:rPr>
        <w:t>Our Way</w:t>
      </w:r>
      <w:r>
        <w:rPr/>
        <w:t>, there needs to be greater collective ownership of </w:t>
      </w:r>
      <w:r>
        <w:rPr>
          <w:i/>
        </w:rPr>
        <w:t>Our Way</w:t>
      </w:r>
      <w:r>
        <w:rPr/>
        <w:t>. This evaluation has identified inconsistent levels of buy in from selected government agencies, which has hampered more widespread and systemic changes to government policy and practice. Additionally, there is also limited awareness and understanding of </w:t>
      </w:r>
      <w:r>
        <w:rPr>
          <w:i/>
        </w:rPr>
        <w:t>Our Way </w:t>
      </w:r>
      <w:r>
        <w:rPr/>
        <w:t>among community members.</w:t>
      </w:r>
    </w:p>
    <w:p>
      <w:pPr>
        <w:pStyle w:val="BodyText"/>
        <w:spacing w:line="264" w:lineRule="auto" w:before="166"/>
        <w:ind w:left="320" w:right="91"/>
      </w:pPr>
      <w:r>
        <w:rPr/>
        <w:t>Improving the life outcomes for Aboriginal and Torres Strait Islander children should be a key priority for all agencies – not merely agencies who deliver specific services. All government agencies need to understand their collective role in supporting positive changes in the system. This can be achieved by:</w:t>
      </w:r>
    </w:p>
    <w:p>
      <w:pPr>
        <w:pStyle w:val="ListParagraph"/>
        <w:numPr>
          <w:ilvl w:val="1"/>
          <w:numId w:val="55"/>
        </w:numPr>
        <w:tabs>
          <w:tab w:pos="681" w:val="left" w:leader="none"/>
        </w:tabs>
        <w:spacing w:line="264" w:lineRule="auto" w:before="168" w:after="0"/>
        <w:ind w:left="680" w:right="115" w:hanging="360"/>
        <w:jc w:val="left"/>
        <w:rPr>
          <w:i/>
          <w:sz w:val="18"/>
        </w:rPr>
      </w:pPr>
      <w:r>
        <w:rPr>
          <w:sz w:val="18"/>
        </w:rPr>
        <w:t>Greater advocacy of the required change from the highest levels of Government. The Government establishes governance arrangements to serve as a centralised point of accountability to raise the visibility of </w:t>
      </w:r>
      <w:r>
        <w:rPr>
          <w:i/>
          <w:sz w:val="18"/>
        </w:rPr>
        <w:t>Our Way</w:t>
      </w:r>
      <w:r>
        <w:rPr>
          <w:sz w:val="18"/>
        </w:rPr>
        <w:t>, increase engagement from other agencies and monitor the implementation of key action plans. This could include the establishment of a Cabinet sub-committee that is chaired by the Premier and includes representation of Aboriginal and Torres Strait Islander peoples. One stakeholder said: </w:t>
      </w:r>
      <w:r>
        <w:rPr>
          <w:i/>
          <w:color w:val="85BB24"/>
          <w:sz w:val="18"/>
        </w:rPr>
        <w:t>“We would like greater engagement </w:t>
      </w:r>
      <w:r>
        <w:rPr>
          <w:i/>
          <w:color w:val="85BB24"/>
          <w:sz w:val="18"/>
        </w:rPr>
        <w:t>from central agencies around the leadership required to drive the implementation of Our</w:t>
      </w:r>
      <w:r>
        <w:rPr>
          <w:i/>
          <w:color w:val="85BB24"/>
          <w:spacing w:val="-42"/>
          <w:sz w:val="18"/>
        </w:rPr>
        <w:t> </w:t>
      </w:r>
      <w:r>
        <w:rPr>
          <w:i/>
          <w:color w:val="85BB24"/>
          <w:sz w:val="18"/>
        </w:rPr>
        <w:t>Way”.</w:t>
      </w:r>
    </w:p>
    <w:p>
      <w:pPr>
        <w:pStyle w:val="ListParagraph"/>
        <w:numPr>
          <w:ilvl w:val="1"/>
          <w:numId w:val="55"/>
        </w:numPr>
        <w:tabs>
          <w:tab w:pos="681" w:val="left" w:leader="none"/>
        </w:tabs>
        <w:spacing w:line="264" w:lineRule="auto" w:before="0" w:after="0"/>
        <w:ind w:left="680" w:right="490" w:hanging="360"/>
        <w:jc w:val="left"/>
        <w:rPr>
          <w:sz w:val="18"/>
        </w:rPr>
      </w:pPr>
      <w:r>
        <w:rPr>
          <w:sz w:val="18"/>
        </w:rPr>
        <w:t>Development and implementation of strategies to raise awareness of the systemic changes driven by </w:t>
      </w:r>
      <w:r>
        <w:rPr>
          <w:i/>
          <w:sz w:val="18"/>
        </w:rPr>
        <w:t>Our Way </w:t>
      </w:r>
      <w:r>
        <w:rPr>
          <w:sz w:val="18"/>
        </w:rPr>
        <w:t>across different levels of government. A structured communication and engagement strategy could be devised to ensure that information on </w:t>
      </w:r>
      <w:r>
        <w:rPr>
          <w:i/>
          <w:sz w:val="18"/>
        </w:rPr>
        <w:t>Our Way’s </w:t>
      </w:r>
      <w:r>
        <w:rPr>
          <w:sz w:val="18"/>
        </w:rPr>
        <w:t>vision and implementation progress is regularly communicated to all system stakeholders, including frontline workers and community</w:t>
      </w:r>
      <w:r>
        <w:rPr>
          <w:spacing w:val="-7"/>
          <w:sz w:val="18"/>
        </w:rPr>
        <w:t> </w:t>
      </w:r>
      <w:r>
        <w:rPr>
          <w:sz w:val="18"/>
        </w:rPr>
        <w:t>members.</w:t>
      </w:r>
    </w:p>
    <w:p>
      <w:pPr>
        <w:pStyle w:val="ListParagraph"/>
        <w:numPr>
          <w:ilvl w:val="1"/>
          <w:numId w:val="55"/>
        </w:numPr>
        <w:tabs>
          <w:tab w:pos="681" w:val="left" w:leader="none"/>
        </w:tabs>
        <w:spacing w:line="264" w:lineRule="auto" w:before="0" w:after="0"/>
        <w:ind w:left="680" w:right="113" w:hanging="360"/>
        <w:jc w:val="left"/>
        <w:rPr>
          <w:sz w:val="18"/>
        </w:rPr>
      </w:pPr>
      <w:r>
        <w:rPr>
          <w:sz w:val="18"/>
        </w:rPr>
        <w:t>Establish collaborative mechanisms to support the alignment of ongoing government strategies to </w:t>
      </w:r>
      <w:r>
        <w:rPr>
          <w:i/>
          <w:sz w:val="18"/>
        </w:rPr>
        <w:t>Our Way</w:t>
      </w:r>
      <w:r>
        <w:rPr>
          <w:sz w:val="18"/>
        </w:rPr>
        <w:t>. This evaluation found there are intersections between different strategies that agencies are implementing which influence the outcomes of Aboriginal and Torres Strait Islander children. There is an opportunity for the design of these strategies to be done in collaboration with other</w:t>
      </w:r>
      <w:r>
        <w:rPr>
          <w:spacing w:val="-5"/>
          <w:sz w:val="18"/>
        </w:rPr>
        <w:t> </w:t>
      </w:r>
      <w:r>
        <w:rPr>
          <w:sz w:val="18"/>
        </w:rPr>
        <w:t>agencies.</w:t>
      </w:r>
    </w:p>
    <w:p>
      <w:pPr>
        <w:pStyle w:val="ListParagraph"/>
        <w:numPr>
          <w:ilvl w:val="1"/>
          <w:numId w:val="55"/>
        </w:numPr>
        <w:tabs>
          <w:tab w:pos="681" w:val="left" w:leader="none"/>
        </w:tabs>
        <w:spacing w:line="264" w:lineRule="auto" w:before="0" w:after="0"/>
        <w:ind w:left="680" w:right="171" w:hanging="360"/>
        <w:jc w:val="left"/>
        <w:rPr>
          <w:sz w:val="18"/>
        </w:rPr>
      </w:pPr>
      <w:r>
        <w:rPr>
          <w:sz w:val="18"/>
        </w:rPr>
        <w:t>Communicate the intent and impact of </w:t>
      </w:r>
      <w:r>
        <w:rPr>
          <w:i/>
          <w:sz w:val="18"/>
        </w:rPr>
        <w:t>Our Way </w:t>
      </w:r>
      <w:r>
        <w:rPr>
          <w:sz w:val="18"/>
        </w:rPr>
        <w:t>to Aboriginal and Torres Strait Islander communities. Even though </w:t>
      </w:r>
      <w:r>
        <w:rPr>
          <w:i/>
          <w:sz w:val="18"/>
        </w:rPr>
        <w:t>Our Way </w:t>
      </w:r>
      <w:r>
        <w:rPr>
          <w:sz w:val="18"/>
        </w:rPr>
        <w:t>was implemented in 2017, there has been limited</w:t>
      </w:r>
      <w:r>
        <w:rPr>
          <w:spacing w:val="-34"/>
          <w:sz w:val="18"/>
        </w:rPr>
        <w:t> </w:t>
      </w:r>
      <w:r>
        <w:rPr>
          <w:sz w:val="18"/>
        </w:rPr>
        <w:t>success</w:t>
      </w:r>
    </w:p>
    <w:p>
      <w:pPr>
        <w:spacing w:after="0" w:line="264" w:lineRule="auto"/>
        <w:jc w:val="left"/>
        <w:rPr>
          <w:sz w:val="18"/>
        </w:rPr>
        <w:sectPr>
          <w:pgSz w:w="11910" w:h="16840"/>
          <w:pgMar w:header="650" w:footer="420" w:top="1340" w:bottom="620" w:left="1120" w:right="1340"/>
        </w:sectPr>
      </w:pPr>
    </w:p>
    <w:p>
      <w:pPr>
        <w:pStyle w:val="BodyText"/>
        <w:spacing w:line="264" w:lineRule="auto" w:before="111"/>
        <w:ind w:left="680" w:right="565"/>
      </w:pPr>
      <w:r>
        <w:rPr/>
        <w:t>in raising awareness and building wide-reaching understanding of its intent and approach. Given this, there is an opportunity for more extensive community engagement in the development and implementation of the remaining action plans.</w:t>
      </w:r>
    </w:p>
    <w:p>
      <w:pPr>
        <w:pStyle w:val="ListParagraph"/>
        <w:numPr>
          <w:ilvl w:val="1"/>
          <w:numId w:val="55"/>
        </w:numPr>
        <w:tabs>
          <w:tab w:pos="681" w:val="left" w:leader="none"/>
        </w:tabs>
        <w:spacing w:line="264" w:lineRule="auto" w:before="0" w:after="0"/>
        <w:ind w:left="680" w:right="237" w:hanging="360"/>
        <w:jc w:val="left"/>
        <w:rPr>
          <w:i/>
          <w:sz w:val="18"/>
        </w:rPr>
      </w:pPr>
      <w:r>
        <w:rPr>
          <w:sz w:val="18"/>
        </w:rPr>
        <w:t>Embed the voice and perspectives of Aboriginal and Torres Strait Islander peoples when assessing the impact of </w:t>
      </w:r>
      <w:r>
        <w:rPr>
          <w:i/>
          <w:sz w:val="18"/>
        </w:rPr>
        <w:t>Our Way</w:t>
      </w:r>
      <w:r>
        <w:rPr>
          <w:sz w:val="18"/>
        </w:rPr>
        <w:t>. There should be consideration of structured data collection mechanisms (through independent evaluations and regular internal performance monitoring mechanisms) to understand if </w:t>
      </w:r>
      <w:r>
        <w:rPr>
          <w:i/>
          <w:sz w:val="18"/>
        </w:rPr>
        <w:t>Our Way </w:t>
      </w:r>
      <w:r>
        <w:rPr>
          <w:sz w:val="18"/>
        </w:rPr>
        <w:t>has positively impacted their lives. In implementing </w:t>
      </w:r>
      <w:r>
        <w:rPr>
          <w:i/>
          <w:sz w:val="18"/>
        </w:rPr>
        <w:t>Our Way</w:t>
      </w:r>
      <w:r>
        <w:rPr>
          <w:sz w:val="18"/>
        </w:rPr>
        <w:t>, both government and non-government service providers are ultimately accountable to Aboriginal and Torres Strait Islander children, family and community – rather than to targets and numbers. One stakeholder noted that </w:t>
      </w:r>
      <w:r>
        <w:rPr>
          <w:i/>
          <w:color w:val="85BB24"/>
          <w:sz w:val="18"/>
        </w:rPr>
        <w:t>“the only way to measure this strategy’s </w:t>
      </w:r>
      <w:r>
        <w:rPr>
          <w:i/>
          <w:color w:val="85BB24"/>
          <w:sz w:val="18"/>
        </w:rPr>
        <w:t>success is to speak directly to Aboriginal and Torres Islander</w:t>
      </w:r>
      <w:r>
        <w:rPr>
          <w:i/>
          <w:color w:val="85BB24"/>
          <w:spacing w:val="-16"/>
          <w:sz w:val="18"/>
        </w:rPr>
        <w:t> </w:t>
      </w:r>
      <w:r>
        <w:rPr>
          <w:i/>
          <w:color w:val="85BB24"/>
          <w:sz w:val="18"/>
        </w:rPr>
        <w:t>people.”</w:t>
      </w:r>
    </w:p>
    <w:p>
      <w:pPr>
        <w:spacing w:after="0" w:line="264" w:lineRule="auto"/>
        <w:jc w:val="left"/>
        <w:rPr>
          <w:sz w:val="18"/>
        </w:rPr>
        <w:sectPr>
          <w:pgSz w:w="11910" w:h="16840"/>
          <w:pgMar w:header="650" w:footer="420" w:top="1340" w:bottom="620" w:left="1120" w:right="1340"/>
        </w:sectPr>
      </w:pPr>
    </w:p>
    <w:p>
      <w:pPr>
        <w:spacing w:before="92"/>
        <w:ind w:left="4177" w:right="1422" w:hanging="3856"/>
        <w:jc w:val="left"/>
        <w:rPr>
          <w:sz w:val="60"/>
        </w:rPr>
      </w:pPr>
      <w:r>
        <w:rPr>
          <w:position w:val="-12"/>
        </w:rPr>
        <w:drawing>
          <wp:inline distT="0" distB="0" distL="0" distR="0">
            <wp:extent cx="2161794" cy="372618"/>
            <wp:effectExtent l="0" t="0" r="0" b="0"/>
            <wp:docPr id="79" name="image61.png"/>
            <wp:cNvGraphicFramePr>
              <a:graphicFrameLocks noChangeAspect="1"/>
            </wp:cNvGraphicFramePr>
            <a:graphic>
              <a:graphicData uri="http://schemas.openxmlformats.org/drawingml/2006/picture">
                <pic:pic>
                  <pic:nvPicPr>
                    <pic:cNvPr id="80" name="image61.png"/>
                    <pic:cNvPicPr/>
                  </pic:nvPicPr>
                  <pic:blipFill>
                    <a:blip r:embed="rId93" cstate="print"/>
                    <a:stretch>
                      <a:fillRect/>
                    </a:stretch>
                  </pic:blipFill>
                  <pic:spPr>
                    <a:xfrm>
                      <a:off x="0" y="0"/>
                      <a:ext cx="2161794" cy="372618"/>
                    </a:xfrm>
                    <a:prstGeom prst="rect">
                      <a:avLst/>
                    </a:prstGeom>
                  </pic:spPr>
                </pic:pic>
              </a:graphicData>
            </a:graphic>
          </wp:inline>
        </w:drawing>
      </w:r>
      <w:r>
        <w:rPr>
          <w:position w:val="-12"/>
        </w:rPr>
      </w:r>
      <w:r>
        <w:rPr>
          <w:rFonts w:ascii="Times New Roman"/>
          <w:sz w:val="20"/>
        </w:rPr>
        <w:t>        </w:t>
      </w:r>
      <w:r>
        <w:rPr>
          <w:rFonts w:ascii="Times New Roman"/>
          <w:spacing w:val="1"/>
          <w:sz w:val="20"/>
        </w:rPr>
        <w:t> </w:t>
      </w:r>
      <w:bookmarkStart w:name="_bookmark99" w:id="160"/>
      <w:bookmarkEnd w:id="160"/>
      <w:r>
        <w:rPr>
          <w:rFonts w:ascii="Times New Roman"/>
          <w:spacing w:val="1"/>
          <w:sz w:val="20"/>
        </w:rPr>
      </w:r>
      <w:r>
        <w:rPr>
          <w:sz w:val="60"/>
        </w:rPr>
        <w:t>Number of stakeholders consulted</w:t>
      </w:r>
    </w:p>
    <w:p>
      <w:pPr>
        <w:pStyle w:val="BodyText"/>
        <w:rPr>
          <w:sz w:val="20"/>
        </w:rPr>
      </w:pPr>
    </w:p>
    <w:p>
      <w:pPr>
        <w:pStyle w:val="BodyText"/>
        <w:rPr>
          <w:sz w:val="21"/>
        </w:rPr>
      </w:pPr>
    </w:p>
    <w:p>
      <w:pPr>
        <w:pStyle w:val="BodyText"/>
        <w:spacing w:line="264" w:lineRule="auto"/>
        <w:ind w:left="320" w:right="323"/>
      </w:pPr>
      <w:r>
        <w:rPr/>
        <w:t>The table below outlines the number of stakeholders (and their respective organisations) who participated in semi-structured interviews and workshops as part of the second phase of this evaluation. For comparison, the table also includes the number of stakeholders who were invited to participate in this evaluation.</w:t>
      </w:r>
    </w:p>
    <w:p>
      <w:pPr>
        <w:pStyle w:val="BodyText"/>
        <w:spacing w:before="2"/>
        <w:rPr>
          <w:sz w:val="12"/>
        </w:rPr>
      </w:pPr>
    </w:p>
    <w:tbl>
      <w:tblPr>
        <w:tblW w:w="0" w:type="auto"/>
        <w:jc w:val="left"/>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2"/>
        <w:gridCol w:w="2030"/>
        <w:gridCol w:w="1862"/>
        <w:gridCol w:w="1302"/>
      </w:tblGrid>
      <w:tr>
        <w:trPr>
          <w:trHeight w:val="1315" w:hRule="atLeast"/>
        </w:trPr>
        <w:tc>
          <w:tcPr>
            <w:tcW w:w="3432" w:type="dxa"/>
            <w:tcBorders>
              <w:top w:val="single" w:sz="24" w:space="0" w:color="61B5E4"/>
              <w:bottom w:val="single" w:sz="4" w:space="0" w:color="000000"/>
            </w:tcBorders>
          </w:tcPr>
          <w:p>
            <w:pPr>
              <w:pStyle w:val="TableParagraph"/>
              <w:spacing w:before="90"/>
              <w:ind w:left="71"/>
              <w:rPr>
                <w:b/>
                <w:sz w:val="17"/>
              </w:rPr>
            </w:pPr>
            <w:r>
              <w:rPr>
                <w:b/>
                <w:sz w:val="17"/>
              </w:rPr>
              <w:t>System stakeholders</w:t>
            </w:r>
          </w:p>
        </w:tc>
        <w:tc>
          <w:tcPr>
            <w:tcW w:w="2030" w:type="dxa"/>
            <w:tcBorders>
              <w:top w:val="single" w:sz="24" w:space="0" w:color="61B5E4"/>
              <w:bottom w:val="single" w:sz="4" w:space="0" w:color="000000"/>
            </w:tcBorders>
          </w:tcPr>
          <w:p>
            <w:pPr>
              <w:pStyle w:val="TableParagraph"/>
              <w:spacing w:line="278" w:lineRule="auto" w:before="90"/>
              <w:ind w:left="245" w:right="70"/>
              <w:rPr>
                <w:b/>
                <w:sz w:val="17"/>
              </w:rPr>
            </w:pPr>
            <w:r>
              <w:rPr>
                <w:b/>
                <w:sz w:val="17"/>
              </w:rPr>
              <w:t>Number of stakeholders who were invited for interviews / workshop</w:t>
            </w:r>
          </w:p>
        </w:tc>
        <w:tc>
          <w:tcPr>
            <w:tcW w:w="1862" w:type="dxa"/>
            <w:tcBorders>
              <w:top w:val="single" w:sz="24" w:space="0" w:color="61B5E4"/>
              <w:bottom w:val="single" w:sz="4" w:space="0" w:color="000000"/>
            </w:tcBorders>
          </w:tcPr>
          <w:p>
            <w:pPr>
              <w:pStyle w:val="TableParagraph"/>
              <w:spacing w:line="278" w:lineRule="auto" w:before="90"/>
              <w:ind w:left="90" w:right="83"/>
              <w:rPr>
                <w:b/>
                <w:sz w:val="17"/>
              </w:rPr>
            </w:pPr>
            <w:r>
              <w:rPr>
                <w:b/>
                <w:sz w:val="17"/>
              </w:rPr>
              <w:t>Number of participants who were interviewed</w:t>
            </w:r>
          </w:p>
        </w:tc>
        <w:tc>
          <w:tcPr>
            <w:tcW w:w="1302" w:type="dxa"/>
            <w:tcBorders>
              <w:top w:val="single" w:sz="24" w:space="0" w:color="61B5E4"/>
              <w:bottom w:val="single" w:sz="4" w:space="0" w:color="000000"/>
            </w:tcBorders>
          </w:tcPr>
          <w:p>
            <w:pPr>
              <w:pStyle w:val="TableParagraph"/>
              <w:spacing w:line="278" w:lineRule="auto" w:before="90"/>
              <w:ind w:left="103" w:right="36"/>
              <w:rPr>
                <w:b/>
                <w:sz w:val="17"/>
              </w:rPr>
            </w:pPr>
            <w:r>
              <w:rPr>
                <w:b/>
                <w:sz w:val="17"/>
              </w:rPr>
              <w:t>Number of participants who attended workshops</w:t>
            </w:r>
          </w:p>
        </w:tc>
      </w:tr>
      <w:tr>
        <w:trPr>
          <w:trHeight w:val="594" w:hRule="atLeast"/>
        </w:trPr>
        <w:tc>
          <w:tcPr>
            <w:tcW w:w="3432" w:type="dxa"/>
            <w:tcBorders>
              <w:top w:val="single" w:sz="4" w:space="0" w:color="000000"/>
              <w:bottom w:val="single" w:sz="4" w:space="0" w:color="000000"/>
            </w:tcBorders>
          </w:tcPr>
          <w:p>
            <w:pPr>
              <w:pStyle w:val="TableParagraph"/>
              <w:spacing w:line="278" w:lineRule="auto" w:before="90"/>
              <w:ind w:left="14" w:right="279"/>
              <w:rPr>
                <w:sz w:val="17"/>
              </w:rPr>
            </w:pPr>
            <w:r>
              <w:rPr>
                <w:sz w:val="17"/>
              </w:rPr>
              <w:t>Aboriginal and Torres Strait Islander Legal Service</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2</w:t>
            </w:r>
          </w:p>
        </w:tc>
        <w:tc>
          <w:tcPr>
            <w:tcW w:w="1862" w:type="dxa"/>
            <w:tcBorders>
              <w:top w:val="single" w:sz="4" w:space="0" w:color="000000"/>
              <w:bottom w:val="single" w:sz="4" w:space="0" w:color="000000"/>
            </w:tcBorders>
          </w:tcPr>
          <w:p>
            <w:pPr>
              <w:pStyle w:val="TableParagraph"/>
              <w:spacing w:before="90"/>
              <w:ind w:left="90"/>
              <w:rPr>
                <w:sz w:val="17"/>
              </w:rPr>
            </w:pPr>
            <w:r>
              <w:rPr>
                <w:sz w:val="17"/>
              </w:rPr>
              <w:t>n/a</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2</w:t>
            </w:r>
          </w:p>
        </w:tc>
      </w:tr>
      <w:tr>
        <w:trPr>
          <w:trHeight w:val="592" w:hRule="atLeast"/>
        </w:trPr>
        <w:tc>
          <w:tcPr>
            <w:tcW w:w="3432" w:type="dxa"/>
            <w:tcBorders>
              <w:top w:val="single" w:sz="4" w:space="0" w:color="000000"/>
              <w:bottom w:val="single" w:sz="4" w:space="0" w:color="000000"/>
            </w:tcBorders>
          </w:tcPr>
          <w:p>
            <w:pPr>
              <w:pStyle w:val="TableParagraph"/>
              <w:spacing w:line="278" w:lineRule="auto" w:before="88"/>
              <w:ind w:left="14" w:right="714"/>
              <w:rPr>
                <w:sz w:val="17"/>
              </w:rPr>
            </w:pPr>
            <w:r>
              <w:rPr>
                <w:sz w:val="17"/>
              </w:rPr>
              <w:t>Central Queensland Indigenous Development</w:t>
            </w:r>
          </w:p>
        </w:tc>
        <w:tc>
          <w:tcPr>
            <w:tcW w:w="2030" w:type="dxa"/>
            <w:tcBorders>
              <w:top w:val="single" w:sz="4" w:space="0" w:color="000000"/>
              <w:bottom w:val="single" w:sz="4" w:space="0" w:color="000000"/>
            </w:tcBorders>
          </w:tcPr>
          <w:p>
            <w:pPr>
              <w:pStyle w:val="TableParagraph"/>
              <w:spacing w:before="88"/>
              <w:ind w:left="245"/>
              <w:rPr>
                <w:sz w:val="17"/>
              </w:rPr>
            </w:pPr>
            <w:r>
              <w:rPr>
                <w:w w:val="100"/>
                <w:sz w:val="17"/>
              </w:rPr>
              <w:t>1</w:t>
            </w:r>
          </w:p>
        </w:tc>
        <w:tc>
          <w:tcPr>
            <w:tcW w:w="1862" w:type="dxa"/>
            <w:tcBorders>
              <w:top w:val="single" w:sz="4" w:space="0" w:color="000000"/>
              <w:bottom w:val="single" w:sz="4" w:space="0" w:color="000000"/>
            </w:tcBorders>
          </w:tcPr>
          <w:p>
            <w:pPr>
              <w:pStyle w:val="TableParagraph"/>
              <w:spacing w:before="88"/>
              <w:ind w:left="90"/>
              <w:rPr>
                <w:sz w:val="17"/>
              </w:rPr>
            </w:pPr>
            <w:r>
              <w:rPr>
                <w:sz w:val="17"/>
              </w:rPr>
              <w:t>n/a</w:t>
            </w:r>
          </w:p>
        </w:tc>
        <w:tc>
          <w:tcPr>
            <w:tcW w:w="1302" w:type="dxa"/>
            <w:tcBorders>
              <w:top w:val="single" w:sz="4" w:space="0" w:color="000000"/>
              <w:bottom w:val="single" w:sz="4" w:space="0" w:color="000000"/>
            </w:tcBorders>
          </w:tcPr>
          <w:p>
            <w:pPr>
              <w:pStyle w:val="TableParagraph"/>
              <w:spacing w:before="88"/>
              <w:ind w:left="103"/>
              <w:rPr>
                <w:sz w:val="17"/>
              </w:rPr>
            </w:pPr>
            <w:r>
              <w:rPr>
                <w:w w:val="100"/>
                <w:sz w:val="17"/>
              </w:rPr>
              <w:t>0</w:t>
            </w:r>
          </w:p>
        </w:tc>
      </w:tr>
      <w:tr>
        <w:trPr>
          <w:trHeight w:val="364" w:hRule="atLeast"/>
        </w:trPr>
        <w:tc>
          <w:tcPr>
            <w:tcW w:w="3432" w:type="dxa"/>
            <w:tcBorders>
              <w:top w:val="single" w:sz="4" w:space="0" w:color="000000"/>
              <w:bottom w:val="single" w:sz="4" w:space="0" w:color="000000"/>
            </w:tcBorders>
          </w:tcPr>
          <w:p>
            <w:pPr>
              <w:pStyle w:val="TableParagraph"/>
              <w:spacing w:before="91"/>
              <w:ind w:left="14"/>
              <w:rPr>
                <w:sz w:val="17"/>
              </w:rPr>
            </w:pPr>
            <w:r>
              <w:rPr>
                <w:sz w:val="17"/>
              </w:rPr>
              <w:t>DCYJMA</w:t>
            </w:r>
          </w:p>
        </w:tc>
        <w:tc>
          <w:tcPr>
            <w:tcW w:w="2030" w:type="dxa"/>
            <w:tcBorders>
              <w:top w:val="single" w:sz="4" w:space="0" w:color="000000"/>
              <w:bottom w:val="single" w:sz="4" w:space="0" w:color="000000"/>
            </w:tcBorders>
          </w:tcPr>
          <w:p>
            <w:pPr>
              <w:pStyle w:val="TableParagraph"/>
              <w:spacing w:before="91"/>
              <w:ind w:left="245"/>
              <w:rPr>
                <w:sz w:val="17"/>
              </w:rPr>
            </w:pPr>
            <w:r>
              <w:rPr>
                <w:sz w:val="17"/>
              </w:rPr>
              <w:t>17</w:t>
            </w:r>
          </w:p>
        </w:tc>
        <w:tc>
          <w:tcPr>
            <w:tcW w:w="1862" w:type="dxa"/>
            <w:tcBorders>
              <w:top w:val="single" w:sz="4" w:space="0" w:color="000000"/>
              <w:bottom w:val="single" w:sz="4" w:space="0" w:color="000000"/>
            </w:tcBorders>
          </w:tcPr>
          <w:p>
            <w:pPr>
              <w:pStyle w:val="TableParagraph"/>
              <w:spacing w:before="91"/>
              <w:ind w:left="90"/>
              <w:rPr>
                <w:sz w:val="17"/>
              </w:rPr>
            </w:pPr>
            <w:r>
              <w:rPr>
                <w:w w:val="100"/>
                <w:sz w:val="17"/>
              </w:rPr>
              <w:t>9</w:t>
            </w:r>
          </w:p>
        </w:tc>
        <w:tc>
          <w:tcPr>
            <w:tcW w:w="1302" w:type="dxa"/>
            <w:tcBorders>
              <w:top w:val="single" w:sz="4" w:space="0" w:color="000000"/>
              <w:bottom w:val="single" w:sz="4" w:space="0" w:color="000000"/>
            </w:tcBorders>
          </w:tcPr>
          <w:p>
            <w:pPr>
              <w:pStyle w:val="TableParagraph"/>
              <w:spacing w:before="91"/>
              <w:ind w:left="103"/>
              <w:rPr>
                <w:sz w:val="17"/>
              </w:rPr>
            </w:pPr>
            <w:r>
              <w:rPr>
                <w:sz w:val="17"/>
              </w:rPr>
              <w:t>13</w:t>
            </w:r>
          </w:p>
        </w:tc>
      </w:tr>
      <w:tr>
        <w:trPr>
          <w:trHeight w:val="354" w:hRule="atLeast"/>
        </w:trPr>
        <w:tc>
          <w:tcPr>
            <w:tcW w:w="3432" w:type="dxa"/>
            <w:tcBorders>
              <w:top w:val="single" w:sz="4" w:space="0" w:color="000000"/>
              <w:bottom w:val="single" w:sz="4" w:space="0" w:color="000000"/>
            </w:tcBorders>
          </w:tcPr>
          <w:p>
            <w:pPr>
              <w:pStyle w:val="TableParagraph"/>
              <w:spacing w:before="90"/>
              <w:ind w:left="14"/>
              <w:rPr>
                <w:sz w:val="17"/>
              </w:rPr>
            </w:pPr>
            <w:r>
              <w:rPr>
                <w:sz w:val="17"/>
              </w:rPr>
              <w:t>DCHDE</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1</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1</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0</w:t>
            </w:r>
          </w:p>
        </w:tc>
      </w:tr>
      <w:tr>
        <w:trPr>
          <w:trHeight w:val="352" w:hRule="atLeast"/>
        </w:trPr>
        <w:tc>
          <w:tcPr>
            <w:tcW w:w="3432" w:type="dxa"/>
            <w:tcBorders>
              <w:top w:val="single" w:sz="4" w:space="0" w:color="000000"/>
              <w:bottom w:val="single" w:sz="4" w:space="0" w:color="000000"/>
            </w:tcBorders>
          </w:tcPr>
          <w:p>
            <w:pPr>
              <w:pStyle w:val="TableParagraph"/>
              <w:spacing w:before="90"/>
              <w:ind w:left="14"/>
              <w:rPr>
                <w:sz w:val="17"/>
              </w:rPr>
            </w:pPr>
            <w:r>
              <w:rPr>
                <w:sz w:val="17"/>
              </w:rPr>
              <w:t>DESBT</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1</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1</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0</w:t>
            </w:r>
          </w:p>
        </w:tc>
      </w:tr>
      <w:tr>
        <w:trPr>
          <w:trHeight w:val="364" w:hRule="atLeast"/>
        </w:trPr>
        <w:tc>
          <w:tcPr>
            <w:tcW w:w="3432" w:type="dxa"/>
            <w:tcBorders>
              <w:top w:val="single" w:sz="4" w:space="0" w:color="000000"/>
              <w:bottom w:val="single" w:sz="4" w:space="0" w:color="000000"/>
            </w:tcBorders>
          </w:tcPr>
          <w:p>
            <w:pPr>
              <w:pStyle w:val="TableParagraph"/>
              <w:spacing w:before="90"/>
              <w:ind w:left="14"/>
              <w:rPr>
                <w:sz w:val="17"/>
              </w:rPr>
            </w:pPr>
            <w:r>
              <w:rPr>
                <w:sz w:val="17"/>
              </w:rPr>
              <w:t>DJAG</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2</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1</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0</w:t>
            </w:r>
          </w:p>
        </w:tc>
      </w:tr>
      <w:tr>
        <w:trPr>
          <w:trHeight w:val="354" w:hRule="atLeast"/>
        </w:trPr>
        <w:tc>
          <w:tcPr>
            <w:tcW w:w="3432" w:type="dxa"/>
            <w:tcBorders>
              <w:top w:val="single" w:sz="4" w:space="0" w:color="000000"/>
              <w:bottom w:val="single" w:sz="4" w:space="0" w:color="000000"/>
            </w:tcBorders>
          </w:tcPr>
          <w:p>
            <w:pPr>
              <w:pStyle w:val="TableParagraph"/>
              <w:spacing w:before="90"/>
              <w:ind w:left="14"/>
              <w:rPr>
                <w:sz w:val="17"/>
              </w:rPr>
            </w:pPr>
            <w:r>
              <w:rPr>
                <w:sz w:val="17"/>
              </w:rPr>
              <w:t>DoE</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2</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1</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0</w:t>
            </w:r>
          </w:p>
        </w:tc>
      </w:tr>
      <w:tr>
        <w:trPr>
          <w:trHeight w:val="364" w:hRule="atLeast"/>
        </w:trPr>
        <w:tc>
          <w:tcPr>
            <w:tcW w:w="3432" w:type="dxa"/>
            <w:tcBorders>
              <w:top w:val="single" w:sz="4" w:space="0" w:color="000000"/>
              <w:bottom w:val="single" w:sz="4" w:space="0" w:color="000000"/>
            </w:tcBorders>
          </w:tcPr>
          <w:p>
            <w:pPr>
              <w:pStyle w:val="TableParagraph"/>
              <w:spacing w:before="90"/>
              <w:ind w:left="14"/>
              <w:rPr>
                <w:sz w:val="17"/>
              </w:rPr>
            </w:pPr>
            <w:r>
              <w:rPr>
                <w:sz w:val="17"/>
              </w:rPr>
              <w:t>DPC</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2</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1</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0</w:t>
            </w:r>
          </w:p>
        </w:tc>
      </w:tr>
      <w:tr>
        <w:trPr>
          <w:trHeight w:val="352" w:hRule="atLeast"/>
        </w:trPr>
        <w:tc>
          <w:tcPr>
            <w:tcW w:w="3432" w:type="dxa"/>
            <w:tcBorders>
              <w:top w:val="single" w:sz="4" w:space="0" w:color="000000"/>
              <w:bottom w:val="single" w:sz="4" w:space="0" w:color="000000"/>
            </w:tcBorders>
          </w:tcPr>
          <w:p>
            <w:pPr>
              <w:pStyle w:val="TableParagraph"/>
              <w:spacing w:before="90"/>
              <w:ind w:left="14"/>
              <w:rPr>
                <w:sz w:val="17"/>
              </w:rPr>
            </w:pPr>
            <w:r>
              <w:rPr>
                <w:sz w:val="17"/>
              </w:rPr>
              <w:t>DSDSATSIP</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5</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4</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1</w:t>
            </w:r>
          </w:p>
        </w:tc>
      </w:tr>
      <w:tr>
        <w:trPr>
          <w:trHeight w:val="364" w:hRule="atLeast"/>
        </w:trPr>
        <w:tc>
          <w:tcPr>
            <w:tcW w:w="3432" w:type="dxa"/>
            <w:tcBorders>
              <w:top w:val="single" w:sz="4" w:space="0" w:color="000000"/>
              <w:bottom w:val="single" w:sz="4" w:space="0" w:color="000000"/>
            </w:tcBorders>
          </w:tcPr>
          <w:p>
            <w:pPr>
              <w:pStyle w:val="TableParagraph"/>
              <w:spacing w:before="90"/>
              <w:ind w:left="14"/>
              <w:rPr>
                <w:sz w:val="17"/>
              </w:rPr>
            </w:pPr>
            <w:r>
              <w:rPr>
                <w:sz w:val="17"/>
              </w:rPr>
              <w:t>Family Matters</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2</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2</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1</w:t>
            </w:r>
          </w:p>
        </w:tc>
      </w:tr>
      <w:tr>
        <w:trPr>
          <w:trHeight w:val="595" w:hRule="atLeast"/>
        </w:trPr>
        <w:tc>
          <w:tcPr>
            <w:tcW w:w="3432" w:type="dxa"/>
            <w:tcBorders>
              <w:top w:val="single" w:sz="4" w:space="0" w:color="000000"/>
              <w:bottom w:val="single" w:sz="4" w:space="0" w:color="000000"/>
            </w:tcBorders>
          </w:tcPr>
          <w:p>
            <w:pPr>
              <w:pStyle w:val="TableParagraph"/>
              <w:spacing w:line="278" w:lineRule="auto" w:before="90"/>
              <w:ind w:left="14" w:right="1035"/>
              <w:rPr>
                <w:sz w:val="17"/>
              </w:rPr>
            </w:pPr>
            <w:r>
              <w:rPr>
                <w:sz w:val="17"/>
              </w:rPr>
              <w:t>Kurbingui Youth and Family Development</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1</w:t>
            </w:r>
          </w:p>
        </w:tc>
        <w:tc>
          <w:tcPr>
            <w:tcW w:w="1862" w:type="dxa"/>
            <w:tcBorders>
              <w:top w:val="single" w:sz="4" w:space="0" w:color="000000"/>
              <w:bottom w:val="single" w:sz="4" w:space="0" w:color="000000"/>
            </w:tcBorders>
          </w:tcPr>
          <w:p>
            <w:pPr>
              <w:pStyle w:val="TableParagraph"/>
              <w:spacing w:before="90"/>
              <w:ind w:left="90"/>
              <w:rPr>
                <w:sz w:val="17"/>
              </w:rPr>
            </w:pPr>
            <w:r>
              <w:rPr>
                <w:sz w:val="17"/>
              </w:rPr>
              <w:t>n/a</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1</w:t>
            </w:r>
          </w:p>
        </w:tc>
      </w:tr>
      <w:tr>
        <w:trPr>
          <w:trHeight w:val="364" w:hRule="atLeast"/>
        </w:trPr>
        <w:tc>
          <w:tcPr>
            <w:tcW w:w="3432" w:type="dxa"/>
            <w:tcBorders>
              <w:top w:val="single" w:sz="4" w:space="0" w:color="000000"/>
              <w:bottom w:val="single" w:sz="4" w:space="0" w:color="000000"/>
            </w:tcBorders>
          </w:tcPr>
          <w:p>
            <w:pPr>
              <w:pStyle w:val="TableParagraph"/>
              <w:spacing w:before="90"/>
              <w:ind w:left="14"/>
              <w:rPr>
                <w:sz w:val="17"/>
              </w:rPr>
            </w:pPr>
            <w:r>
              <w:rPr>
                <w:sz w:val="17"/>
              </w:rPr>
              <w:t>Life Without Barriers</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1</w:t>
            </w:r>
          </w:p>
        </w:tc>
        <w:tc>
          <w:tcPr>
            <w:tcW w:w="1862" w:type="dxa"/>
            <w:tcBorders>
              <w:top w:val="single" w:sz="4" w:space="0" w:color="000000"/>
              <w:bottom w:val="single" w:sz="4" w:space="0" w:color="000000"/>
            </w:tcBorders>
          </w:tcPr>
          <w:p>
            <w:pPr>
              <w:pStyle w:val="TableParagraph"/>
              <w:spacing w:before="90"/>
              <w:ind w:left="90"/>
              <w:rPr>
                <w:sz w:val="17"/>
              </w:rPr>
            </w:pPr>
            <w:r>
              <w:rPr>
                <w:sz w:val="17"/>
              </w:rPr>
              <w:t>n/a</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1</w:t>
            </w:r>
          </w:p>
        </w:tc>
      </w:tr>
      <w:tr>
        <w:trPr>
          <w:trHeight w:val="592" w:hRule="atLeast"/>
        </w:trPr>
        <w:tc>
          <w:tcPr>
            <w:tcW w:w="3432" w:type="dxa"/>
            <w:tcBorders>
              <w:top w:val="single" w:sz="4" w:space="0" w:color="000000"/>
              <w:bottom w:val="single" w:sz="4" w:space="0" w:color="000000"/>
            </w:tcBorders>
          </w:tcPr>
          <w:p>
            <w:pPr>
              <w:pStyle w:val="TableParagraph"/>
              <w:spacing w:line="278" w:lineRule="auto" w:before="90"/>
              <w:ind w:left="14" w:right="226"/>
              <w:rPr>
                <w:sz w:val="17"/>
              </w:rPr>
            </w:pPr>
            <w:r>
              <w:rPr>
                <w:sz w:val="17"/>
              </w:rPr>
              <w:t>Office of the Child and Family Official Solicitor</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1</w:t>
            </w:r>
          </w:p>
        </w:tc>
        <w:tc>
          <w:tcPr>
            <w:tcW w:w="1862" w:type="dxa"/>
            <w:tcBorders>
              <w:top w:val="single" w:sz="4" w:space="0" w:color="000000"/>
              <w:bottom w:val="single" w:sz="4" w:space="0" w:color="000000"/>
            </w:tcBorders>
          </w:tcPr>
          <w:p>
            <w:pPr>
              <w:pStyle w:val="TableParagraph"/>
              <w:spacing w:before="90"/>
              <w:ind w:left="90"/>
              <w:rPr>
                <w:sz w:val="17"/>
              </w:rPr>
            </w:pPr>
            <w:r>
              <w:rPr>
                <w:sz w:val="17"/>
              </w:rPr>
              <w:t>n/a</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0</w:t>
            </w:r>
          </w:p>
        </w:tc>
      </w:tr>
      <w:tr>
        <w:trPr>
          <w:trHeight w:val="354" w:hRule="atLeast"/>
        </w:trPr>
        <w:tc>
          <w:tcPr>
            <w:tcW w:w="3432" w:type="dxa"/>
            <w:tcBorders>
              <w:top w:val="single" w:sz="4" w:space="0" w:color="000000"/>
              <w:bottom w:val="single" w:sz="4" w:space="0" w:color="000000"/>
            </w:tcBorders>
          </w:tcPr>
          <w:p>
            <w:pPr>
              <w:pStyle w:val="TableParagraph"/>
              <w:spacing w:before="90"/>
              <w:ind w:left="71"/>
              <w:rPr>
                <w:sz w:val="17"/>
              </w:rPr>
            </w:pPr>
            <w:r>
              <w:rPr>
                <w:sz w:val="17"/>
              </w:rPr>
              <w:t>QATSICPP</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6</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4</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1</w:t>
            </w:r>
          </w:p>
        </w:tc>
      </w:tr>
      <w:tr>
        <w:trPr>
          <w:trHeight w:val="364" w:hRule="atLeast"/>
        </w:trPr>
        <w:tc>
          <w:tcPr>
            <w:tcW w:w="3432" w:type="dxa"/>
            <w:tcBorders>
              <w:top w:val="single" w:sz="4" w:space="0" w:color="000000"/>
              <w:bottom w:val="single" w:sz="4" w:space="0" w:color="000000"/>
            </w:tcBorders>
          </w:tcPr>
          <w:p>
            <w:pPr>
              <w:pStyle w:val="TableParagraph"/>
              <w:spacing w:before="90"/>
              <w:ind w:left="71"/>
              <w:rPr>
                <w:sz w:val="17"/>
              </w:rPr>
            </w:pPr>
            <w:r>
              <w:rPr>
                <w:sz w:val="17"/>
              </w:rPr>
              <w:t>QFCC</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1</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0</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1</w:t>
            </w:r>
          </w:p>
        </w:tc>
      </w:tr>
      <w:tr>
        <w:trPr>
          <w:trHeight w:val="354" w:hRule="atLeast"/>
        </w:trPr>
        <w:tc>
          <w:tcPr>
            <w:tcW w:w="3432" w:type="dxa"/>
            <w:tcBorders>
              <w:top w:val="single" w:sz="4" w:space="0" w:color="000000"/>
              <w:bottom w:val="single" w:sz="4" w:space="0" w:color="000000"/>
            </w:tcBorders>
          </w:tcPr>
          <w:p>
            <w:pPr>
              <w:pStyle w:val="TableParagraph"/>
              <w:spacing w:before="90"/>
              <w:ind w:left="71"/>
              <w:rPr>
                <w:sz w:val="17"/>
              </w:rPr>
            </w:pPr>
            <w:r>
              <w:rPr>
                <w:sz w:val="17"/>
              </w:rPr>
              <w:t>QFCFB</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3</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0</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2</w:t>
            </w:r>
          </w:p>
        </w:tc>
      </w:tr>
      <w:tr>
        <w:trPr>
          <w:trHeight w:val="361" w:hRule="atLeast"/>
        </w:trPr>
        <w:tc>
          <w:tcPr>
            <w:tcW w:w="3432" w:type="dxa"/>
            <w:tcBorders>
              <w:top w:val="single" w:sz="4" w:space="0" w:color="000000"/>
              <w:bottom w:val="single" w:sz="4" w:space="0" w:color="000000"/>
            </w:tcBorders>
          </w:tcPr>
          <w:p>
            <w:pPr>
              <w:pStyle w:val="TableParagraph"/>
              <w:spacing w:before="88"/>
              <w:ind w:left="71"/>
              <w:rPr>
                <w:sz w:val="17"/>
              </w:rPr>
            </w:pPr>
            <w:r>
              <w:rPr>
                <w:sz w:val="17"/>
              </w:rPr>
              <w:t>QH</w:t>
            </w:r>
          </w:p>
        </w:tc>
        <w:tc>
          <w:tcPr>
            <w:tcW w:w="2030" w:type="dxa"/>
            <w:tcBorders>
              <w:top w:val="single" w:sz="4" w:space="0" w:color="000000"/>
              <w:bottom w:val="single" w:sz="4" w:space="0" w:color="000000"/>
            </w:tcBorders>
          </w:tcPr>
          <w:p>
            <w:pPr>
              <w:pStyle w:val="TableParagraph"/>
              <w:spacing w:before="88"/>
              <w:ind w:left="245"/>
              <w:rPr>
                <w:sz w:val="17"/>
              </w:rPr>
            </w:pPr>
            <w:r>
              <w:rPr>
                <w:w w:val="100"/>
                <w:sz w:val="17"/>
              </w:rPr>
              <w:t>2</w:t>
            </w:r>
          </w:p>
        </w:tc>
        <w:tc>
          <w:tcPr>
            <w:tcW w:w="1862" w:type="dxa"/>
            <w:tcBorders>
              <w:top w:val="single" w:sz="4" w:space="0" w:color="000000"/>
              <w:bottom w:val="single" w:sz="4" w:space="0" w:color="000000"/>
            </w:tcBorders>
          </w:tcPr>
          <w:p>
            <w:pPr>
              <w:pStyle w:val="TableParagraph"/>
              <w:spacing w:before="88"/>
              <w:ind w:left="90"/>
              <w:rPr>
                <w:sz w:val="17"/>
              </w:rPr>
            </w:pPr>
            <w:r>
              <w:rPr>
                <w:w w:val="100"/>
                <w:sz w:val="17"/>
              </w:rPr>
              <w:t>1</w:t>
            </w:r>
          </w:p>
        </w:tc>
        <w:tc>
          <w:tcPr>
            <w:tcW w:w="1302" w:type="dxa"/>
            <w:tcBorders>
              <w:top w:val="single" w:sz="4" w:space="0" w:color="000000"/>
              <w:bottom w:val="single" w:sz="4" w:space="0" w:color="000000"/>
            </w:tcBorders>
          </w:tcPr>
          <w:p>
            <w:pPr>
              <w:pStyle w:val="TableParagraph"/>
              <w:spacing w:before="88"/>
              <w:ind w:left="103"/>
              <w:rPr>
                <w:sz w:val="17"/>
              </w:rPr>
            </w:pPr>
            <w:r>
              <w:rPr>
                <w:w w:val="100"/>
                <w:sz w:val="17"/>
              </w:rPr>
              <w:t>0</w:t>
            </w:r>
          </w:p>
        </w:tc>
      </w:tr>
      <w:tr>
        <w:trPr>
          <w:trHeight w:val="354" w:hRule="atLeast"/>
        </w:trPr>
        <w:tc>
          <w:tcPr>
            <w:tcW w:w="3432" w:type="dxa"/>
            <w:tcBorders>
              <w:top w:val="single" w:sz="4" w:space="0" w:color="000000"/>
              <w:bottom w:val="single" w:sz="4" w:space="0" w:color="000000"/>
            </w:tcBorders>
          </w:tcPr>
          <w:p>
            <w:pPr>
              <w:pStyle w:val="TableParagraph"/>
              <w:spacing w:before="90"/>
              <w:ind w:left="71"/>
              <w:rPr>
                <w:sz w:val="17"/>
              </w:rPr>
            </w:pPr>
            <w:r>
              <w:rPr>
                <w:sz w:val="17"/>
              </w:rPr>
              <w:t>Qld Treasury</w:t>
            </w:r>
          </w:p>
        </w:tc>
        <w:tc>
          <w:tcPr>
            <w:tcW w:w="2030" w:type="dxa"/>
            <w:tcBorders>
              <w:top w:val="single" w:sz="4" w:space="0" w:color="000000"/>
              <w:bottom w:val="single" w:sz="4" w:space="0" w:color="000000"/>
            </w:tcBorders>
          </w:tcPr>
          <w:p>
            <w:pPr>
              <w:pStyle w:val="TableParagraph"/>
              <w:spacing w:before="90"/>
              <w:ind w:left="245"/>
              <w:rPr>
                <w:sz w:val="17"/>
              </w:rPr>
            </w:pPr>
            <w:r>
              <w:rPr>
                <w:w w:val="100"/>
                <w:sz w:val="17"/>
              </w:rPr>
              <w:t>2</w:t>
            </w:r>
          </w:p>
        </w:tc>
        <w:tc>
          <w:tcPr>
            <w:tcW w:w="1862" w:type="dxa"/>
            <w:tcBorders>
              <w:top w:val="single" w:sz="4" w:space="0" w:color="000000"/>
              <w:bottom w:val="single" w:sz="4" w:space="0" w:color="000000"/>
            </w:tcBorders>
          </w:tcPr>
          <w:p>
            <w:pPr>
              <w:pStyle w:val="TableParagraph"/>
              <w:spacing w:before="90"/>
              <w:ind w:left="90"/>
              <w:rPr>
                <w:sz w:val="17"/>
              </w:rPr>
            </w:pPr>
            <w:r>
              <w:rPr>
                <w:w w:val="100"/>
                <w:sz w:val="17"/>
              </w:rPr>
              <w:t>0</w:t>
            </w:r>
          </w:p>
        </w:tc>
        <w:tc>
          <w:tcPr>
            <w:tcW w:w="1302" w:type="dxa"/>
            <w:tcBorders>
              <w:top w:val="single" w:sz="4" w:space="0" w:color="000000"/>
              <w:bottom w:val="single" w:sz="4" w:space="0" w:color="000000"/>
            </w:tcBorders>
          </w:tcPr>
          <w:p>
            <w:pPr>
              <w:pStyle w:val="TableParagraph"/>
              <w:spacing w:before="90"/>
              <w:ind w:left="103"/>
              <w:rPr>
                <w:sz w:val="17"/>
              </w:rPr>
            </w:pPr>
            <w:r>
              <w:rPr>
                <w:w w:val="100"/>
                <w:sz w:val="17"/>
              </w:rPr>
              <w:t>0</w:t>
            </w:r>
          </w:p>
        </w:tc>
      </w:tr>
      <w:tr>
        <w:trPr>
          <w:trHeight w:val="354" w:hRule="atLeast"/>
        </w:trPr>
        <w:tc>
          <w:tcPr>
            <w:tcW w:w="3432" w:type="dxa"/>
            <w:tcBorders>
              <w:top w:val="single" w:sz="4" w:space="0" w:color="000000"/>
              <w:bottom w:val="single" w:sz="4" w:space="0" w:color="000000"/>
            </w:tcBorders>
          </w:tcPr>
          <w:p>
            <w:pPr>
              <w:pStyle w:val="TableParagraph"/>
              <w:spacing w:before="90"/>
              <w:ind w:left="71"/>
              <w:rPr>
                <w:b/>
                <w:sz w:val="17"/>
              </w:rPr>
            </w:pPr>
            <w:r>
              <w:rPr>
                <w:b/>
                <w:sz w:val="17"/>
              </w:rPr>
              <w:t>Total</w:t>
            </w:r>
          </w:p>
        </w:tc>
        <w:tc>
          <w:tcPr>
            <w:tcW w:w="2030" w:type="dxa"/>
            <w:tcBorders>
              <w:top w:val="single" w:sz="4" w:space="0" w:color="000000"/>
              <w:bottom w:val="single" w:sz="4" w:space="0" w:color="000000"/>
            </w:tcBorders>
          </w:tcPr>
          <w:p>
            <w:pPr>
              <w:pStyle w:val="TableParagraph"/>
              <w:spacing w:before="90"/>
              <w:ind w:left="245"/>
              <w:rPr>
                <w:b/>
                <w:sz w:val="17"/>
              </w:rPr>
            </w:pPr>
            <w:r>
              <w:rPr>
                <w:b/>
                <w:sz w:val="17"/>
              </w:rPr>
              <w:t>50</w:t>
            </w:r>
          </w:p>
        </w:tc>
        <w:tc>
          <w:tcPr>
            <w:tcW w:w="1862" w:type="dxa"/>
            <w:tcBorders>
              <w:top w:val="single" w:sz="4" w:space="0" w:color="000000"/>
              <w:bottom w:val="single" w:sz="4" w:space="0" w:color="000000"/>
            </w:tcBorders>
          </w:tcPr>
          <w:p>
            <w:pPr>
              <w:pStyle w:val="TableParagraph"/>
              <w:spacing w:before="90"/>
              <w:ind w:left="90"/>
              <w:rPr>
                <w:b/>
                <w:sz w:val="17"/>
              </w:rPr>
            </w:pPr>
            <w:r>
              <w:rPr>
                <w:b/>
                <w:sz w:val="17"/>
              </w:rPr>
              <w:t>25</w:t>
            </w:r>
          </w:p>
        </w:tc>
        <w:tc>
          <w:tcPr>
            <w:tcW w:w="1302" w:type="dxa"/>
            <w:tcBorders>
              <w:top w:val="single" w:sz="4" w:space="0" w:color="000000"/>
              <w:bottom w:val="single" w:sz="4" w:space="0" w:color="000000"/>
            </w:tcBorders>
          </w:tcPr>
          <w:p>
            <w:pPr>
              <w:pStyle w:val="TableParagraph"/>
              <w:spacing w:before="90"/>
              <w:ind w:left="103"/>
              <w:rPr>
                <w:b/>
                <w:sz w:val="17"/>
              </w:rPr>
            </w:pPr>
            <w:r>
              <w:rPr>
                <w:b/>
                <w:sz w:val="17"/>
              </w:rPr>
              <w:t>23</w:t>
            </w:r>
          </w:p>
        </w:tc>
      </w:tr>
    </w:tbl>
    <w:p>
      <w:pPr>
        <w:spacing w:after="0"/>
        <w:rPr>
          <w:sz w:val="17"/>
        </w:rPr>
        <w:sectPr>
          <w:pgSz w:w="11910" w:h="16840"/>
          <w:pgMar w:header="650" w:footer="420" w:top="1340" w:bottom="620" w:left="1120" w:right="1340"/>
        </w:sectPr>
      </w:pPr>
    </w:p>
    <w:p>
      <w:pPr>
        <w:pStyle w:val="Heading1"/>
        <w:spacing w:before="92"/>
        <w:ind w:left="4177" w:right="1597" w:hanging="3856"/>
      </w:pPr>
      <w:r>
        <w:rPr>
          <w:position w:val="-12"/>
        </w:rPr>
        <w:drawing>
          <wp:inline distT="0" distB="0" distL="0" distR="0">
            <wp:extent cx="2152650" cy="372618"/>
            <wp:effectExtent l="0" t="0" r="0" b="0"/>
            <wp:docPr id="81" name="image62.png"/>
            <wp:cNvGraphicFramePr>
              <a:graphicFrameLocks noChangeAspect="1"/>
            </wp:cNvGraphicFramePr>
            <a:graphic>
              <a:graphicData uri="http://schemas.openxmlformats.org/drawingml/2006/picture">
                <pic:pic>
                  <pic:nvPicPr>
                    <pic:cNvPr id="82" name="image62.png"/>
                    <pic:cNvPicPr/>
                  </pic:nvPicPr>
                  <pic:blipFill>
                    <a:blip r:embed="rId94" cstate="print"/>
                    <a:stretch>
                      <a:fillRect/>
                    </a:stretch>
                  </pic:blipFill>
                  <pic:spPr>
                    <a:xfrm>
                      <a:off x="0" y="0"/>
                      <a:ext cx="2152650" cy="372618"/>
                    </a:xfrm>
                    <a:prstGeom prst="rect">
                      <a:avLst/>
                    </a:prstGeom>
                  </pic:spPr>
                </pic:pic>
              </a:graphicData>
            </a:graphic>
          </wp:inline>
        </w:drawing>
      </w:r>
      <w:r>
        <w:rPr>
          <w:position w:val="-12"/>
        </w:rPr>
      </w:r>
      <w:r>
        <w:rPr>
          <w:rFonts w:ascii="Times New Roman"/>
          <w:sz w:val="20"/>
        </w:rPr>
        <w:t>        </w:t>
      </w:r>
      <w:r>
        <w:rPr>
          <w:rFonts w:ascii="Times New Roman"/>
          <w:spacing w:val="15"/>
          <w:sz w:val="20"/>
        </w:rPr>
        <w:t> </w:t>
      </w:r>
      <w:bookmarkStart w:name="_bookmark100" w:id="161"/>
      <w:bookmarkEnd w:id="161"/>
      <w:r>
        <w:rPr>
          <w:rFonts w:ascii="Times New Roman"/>
          <w:spacing w:val="15"/>
          <w:sz w:val="20"/>
        </w:rPr>
      </w:r>
      <w:r>
        <w:rPr/>
        <w:t>Stakeholder interview consultation guide</w:t>
      </w:r>
    </w:p>
    <w:p>
      <w:pPr>
        <w:pStyle w:val="BodyText"/>
        <w:rPr>
          <w:sz w:val="20"/>
        </w:rPr>
      </w:pPr>
    </w:p>
    <w:p>
      <w:pPr>
        <w:pStyle w:val="BodyText"/>
        <w:spacing w:before="1"/>
        <w:rPr>
          <w:sz w:val="21"/>
        </w:rPr>
      </w:pPr>
    </w:p>
    <w:p>
      <w:pPr>
        <w:spacing w:before="0"/>
        <w:ind w:left="320" w:right="0" w:firstLine="0"/>
        <w:jc w:val="left"/>
        <w:rPr>
          <w:b/>
          <w:i/>
          <w:sz w:val="18"/>
        </w:rPr>
      </w:pPr>
      <w:bookmarkStart w:name="_bookmark101" w:id="162"/>
      <w:bookmarkEnd w:id="162"/>
      <w:r>
        <w:rPr/>
      </w:r>
      <w:r>
        <w:rPr>
          <w:b/>
          <w:sz w:val="18"/>
        </w:rPr>
        <w:t>Alignment with </w:t>
      </w:r>
      <w:r>
        <w:rPr>
          <w:b/>
          <w:i/>
          <w:sz w:val="18"/>
        </w:rPr>
        <w:t>Our Way</w:t>
      </w:r>
    </w:p>
    <w:p>
      <w:pPr>
        <w:pStyle w:val="ListParagraph"/>
        <w:numPr>
          <w:ilvl w:val="0"/>
          <w:numId w:val="56"/>
        </w:numPr>
        <w:tabs>
          <w:tab w:pos="739" w:val="left" w:leader="none"/>
        </w:tabs>
        <w:spacing w:line="240" w:lineRule="auto" w:before="141" w:after="0"/>
        <w:ind w:left="738" w:right="0" w:hanging="361"/>
        <w:jc w:val="left"/>
        <w:rPr>
          <w:sz w:val="18"/>
        </w:rPr>
      </w:pPr>
      <w:r>
        <w:rPr>
          <w:sz w:val="18"/>
        </w:rPr>
        <w:t>Could you please describe your role within the organisation you work</w:t>
      </w:r>
      <w:r>
        <w:rPr>
          <w:spacing w:val="-15"/>
          <w:sz w:val="18"/>
        </w:rPr>
        <w:t> </w:t>
      </w:r>
      <w:r>
        <w:rPr>
          <w:sz w:val="18"/>
        </w:rPr>
        <w:t>for?</w:t>
      </w:r>
    </w:p>
    <w:p>
      <w:pPr>
        <w:pStyle w:val="ListParagraph"/>
        <w:numPr>
          <w:ilvl w:val="0"/>
          <w:numId w:val="56"/>
        </w:numPr>
        <w:tabs>
          <w:tab w:pos="739" w:val="left" w:leader="none"/>
        </w:tabs>
        <w:spacing w:line="240" w:lineRule="auto" w:before="120" w:after="0"/>
        <w:ind w:left="738" w:right="0" w:hanging="361"/>
        <w:jc w:val="left"/>
        <w:rPr>
          <w:sz w:val="18"/>
        </w:rPr>
      </w:pPr>
      <w:r>
        <w:rPr/>
        <w:pict>
          <v:shape style="position:absolute;margin-left:72.264pt;margin-top:22.968348pt;width:446.6pt;height:73.8pt;mso-position-horizontal-relative:page;mso-position-vertical-relative:paragraph;z-index:-251495424;mso-wrap-distance-left:0;mso-wrap-distance-right:0" type="#_x0000_t202" filled="true" fillcolor="#dfeff8" stroked="false">
            <v:textbox inset="0,0,0,0">
              <w:txbxContent>
                <w:p>
                  <w:pPr>
                    <w:spacing w:before="20"/>
                    <w:ind w:left="0" w:right="0" w:firstLine="0"/>
                    <w:jc w:val="left"/>
                    <w:rPr>
                      <w:b/>
                      <w:sz w:val="18"/>
                    </w:rPr>
                  </w:pPr>
                  <w:bookmarkStart w:name="_bookmark102" w:id="163"/>
                  <w:bookmarkEnd w:id="163"/>
                  <w:r>
                    <w:rPr/>
                  </w:r>
                  <w:r>
                    <w:rPr>
                      <w:b/>
                      <w:i/>
                      <w:sz w:val="18"/>
                    </w:rPr>
                    <w:t>Our Way </w:t>
                  </w:r>
                  <w:r>
                    <w:rPr>
                      <w:b/>
                      <w:sz w:val="18"/>
                    </w:rPr>
                    <w:t>objectives</w:t>
                  </w:r>
                </w:p>
                <w:p>
                  <w:pPr>
                    <w:pStyle w:val="BodyText"/>
                    <w:numPr>
                      <w:ilvl w:val="0"/>
                      <w:numId w:val="57"/>
                    </w:numPr>
                    <w:tabs>
                      <w:tab w:pos="719" w:val="left" w:leader="none"/>
                      <w:tab w:pos="720" w:val="left" w:leader="none"/>
                    </w:tabs>
                    <w:spacing w:line="240" w:lineRule="auto" w:before="120" w:after="0"/>
                    <w:ind w:left="719" w:right="622" w:hanging="360"/>
                    <w:jc w:val="left"/>
                  </w:pPr>
                  <w:r>
                    <w:rPr/>
                    <w:t>Close the gap in life outcomes for Aboriginal and Torres Strait Islander children and families;</w:t>
                  </w:r>
                  <w:r>
                    <w:rPr>
                      <w:spacing w:val="-2"/>
                    </w:rPr>
                    <w:t> </w:t>
                  </w:r>
                  <w:r>
                    <w:rPr/>
                    <w:t>and</w:t>
                  </w:r>
                </w:p>
                <w:p>
                  <w:pPr>
                    <w:pStyle w:val="BodyText"/>
                    <w:numPr>
                      <w:ilvl w:val="0"/>
                      <w:numId w:val="57"/>
                    </w:numPr>
                    <w:tabs>
                      <w:tab w:pos="719" w:val="left" w:leader="none"/>
                      <w:tab w:pos="720" w:val="left" w:leader="none"/>
                    </w:tabs>
                    <w:spacing w:line="237" w:lineRule="auto" w:before="122" w:after="0"/>
                    <w:ind w:left="719" w:right="493" w:hanging="360"/>
                    <w:jc w:val="left"/>
                  </w:pPr>
                  <w:r>
                    <w:rPr/>
                    <w:t>Eliminate the disproportionate representation of Aboriginal and Torres Strait</w:t>
                  </w:r>
                  <w:r>
                    <w:rPr>
                      <w:spacing w:val="-38"/>
                    </w:rPr>
                    <w:t> </w:t>
                  </w:r>
                  <w:r>
                    <w:rPr/>
                    <w:t>Islander children in the child protection</w:t>
                  </w:r>
                  <w:r>
                    <w:rPr>
                      <w:spacing w:val="-4"/>
                    </w:rPr>
                    <w:t> </w:t>
                  </w:r>
                  <w:r>
                    <w:rPr/>
                    <w:t>system</w:t>
                  </w:r>
                </w:p>
              </w:txbxContent>
            </v:textbox>
            <v:fill type="solid"/>
            <w10:wrap type="topAndBottom"/>
          </v:shape>
        </w:pict>
      </w:r>
      <w:r>
        <w:rPr>
          <w:sz w:val="18"/>
        </w:rPr>
        <w:t>How familiar are you with </w:t>
      </w:r>
      <w:r>
        <w:rPr>
          <w:i/>
          <w:sz w:val="18"/>
        </w:rPr>
        <w:t>Our Way</w:t>
      </w:r>
      <w:r>
        <w:rPr>
          <w:sz w:val="18"/>
        </w:rPr>
        <w:t>, and the Changing Tracks Action</w:t>
      </w:r>
      <w:r>
        <w:rPr>
          <w:spacing w:val="-15"/>
          <w:sz w:val="18"/>
        </w:rPr>
        <w:t> </w:t>
      </w:r>
      <w:r>
        <w:rPr>
          <w:sz w:val="18"/>
        </w:rPr>
        <w:t>Plans?</w:t>
      </w:r>
    </w:p>
    <w:p>
      <w:pPr>
        <w:pStyle w:val="ListParagraph"/>
        <w:numPr>
          <w:ilvl w:val="0"/>
          <w:numId w:val="56"/>
        </w:numPr>
        <w:tabs>
          <w:tab w:pos="739" w:val="left" w:leader="none"/>
        </w:tabs>
        <w:spacing w:line="240" w:lineRule="auto" w:before="104" w:after="0"/>
        <w:ind w:left="738" w:right="584" w:hanging="360"/>
        <w:jc w:val="left"/>
        <w:rPr>
          <w:sz w:val="18"/>
        </w:rPr>
      </w:pPr>
      <w:r>
        <w:rPr>
          <w:sz w:val="18"/>
        </w:rPr>
        <w:t>To what extent do you perceive that your organisation shares the vision and aligns to the objectives of </w:t>
      </w:r>
      <w:r>
        <w:rPr>
          <w:i/>
          <w:sz w:val="18"/>
        </w:rPr>
        <w:t>Our</w:t>
      </w:r>
      <w:r>
        <w:rPr>
          <w:i/>
          <w:spacing w:val="-4"/>
          <w:sz w:val="18"/>
        </w:rPr>
        <w:t> </w:t>
      </w:r>
      <w:r>
        <w:rPr>
          <w:i/>
          <w:sz w:val="18"/>
        </w:rPr>
        <w:t>Way</w:t>
      </w:r>
      <w:r>
        <w:rPr>
          <w:sz w:val="18"/>
        </w:rPr>
        <w:t>?</w:t>
      </w:r>
    </w:p>
    <w:p>
      <w:pPr>
        <w:pStyle w:val="ListParagraph"/>
        <w:numPr>
          <w:ilvl w:val="0"/>
          <w:numId w:val="56"/>
        </w:numPr>
        <w:tabs>
          <w:tab w:pos="739" w:val="left" w:leader="none"/>
        </w:tabs>
        <w:spacing w:line="242" w:lineRule="auto" w:before="119" w:after="0"/>
        <w:ind w:left="738" w:right="398" w:hanging="360"/>
        <w:jc w:val="left"/>
        <w:rPr>
          <w:sz w:val="18"/>
        </w:rPr>
      </w:pPr>
      <w:r>
        <w:rPr>
          <w:sz w:val="18"/>
        </w:rPr>
        <w:t>What are the activities your organisation delivers to achieve the </w:t>
      </w:r>
      <w:r>
        <w:rPr>
          <w:i/>
          <w:sz w:val="18"/>
        </w:rPr>
        <w:t>Our Way </w:t>
      </w:r>
      <w:r>
        <w:rPr>
          <w:sz w:val="18"/>
        </w:rPr>
        <w:t>objectives (either formally through the Action Plan actions or through other organisational</w:t>
      </w:r>
      <w:r>
        <w:rPr>
          <w:spacing w:val="-18"/>
          <w:sz w:val="18"/>
        </w:rPr>
        <w:t> </w:t>
      </w:r>
      <w:r>
        <w:rPr>
          <w:sz w:val="18"/>
        </w:rPr>
        <w:t>activities)?</w:t>
      </w:r>
    </w:p>
    <w:p>
      <w:pPr>
        <w:pStyle w:val="ListParagraph"/>
        <w:numPr>
          <w:ilvl w:val="0"/>
          <w:numId w:val="56"/>
        </w:numPr>
        <w:tabs>
          <w:tab w:pos="739" w:val="left" w:leader="none"/>
        </w:tabs>
        <w:spacing w:line="240" w:lineRule="auto" w:before="118" w:after="0"/>
        <w:ind w:left="738" w:right="305" w:hanging="360"/>
        <w:jc w:val="left"/>
        <w:rPr>
          <w:sz w:val="18"/>
        </w:rPr>
      </w:pPr>
      <w:r>
        <w:rPr>
          <w:sz w:val="18"/>
        </w:rPr>
        <w:t>To what extent do you feel the Changing Tracks actions your organisation has been involved in align with the objectives of </w:t>
      </w:r>
      <w:r>
        <w:rPr>
          <w:i/>
          <w:sz w:val="18"/>
        </w:rPr>
        <w:t>Our</w:t>
      </w:r>
      <w:r>
        <w:rPr>
          <w:i/>
          <w:spacing w:val="-7"/>
          <w:sz w:val="18"/>
        </w:rPr>
        <w:t> </w:t>
      </w:r>
      <w:r>
        <w:rPr>
          <w:i/>
          <w:sz w:val="18"/>
        </w:rPr>
        <w:t>Way</w:t>
      </w:r>
      <w:r>
        <w:rPr>
          <w:sz w:val="18"/>
        </w:rPr>
        <w:t>?</w:t>
      </w:r>
    </w:p>
    <w:p>
      <w:pPr>
        <w:pStyle w:val="Heading4"/>
        <w:spacing w:before="141"/>
        <w:ind w:left="320"/>
      </w:pPr>
      <w:bookmarkStart w:name="_bookmark103" w:id="164"/>
      <w:bookmarkEnd w:id="164"/>
      <w:r>
        <w:rPr>
          <w:b w:val="0"/>
        </w:rPr>
      </w:r>
      <w:r>
        <w:rPr/>
        <w:t>Making changes</w:t>
      </w:r>
    </w:p>
    <w:p>
      <w:pPr>
        <w:pStyle w:val="ListParagraph"/>
        <w:numPr>
          <w:ilvl w:val="0"/>
          <w:numId w:val="56"/>
        </w:numPr>
        <w:tabs>
          <w:tab w:pos="739" w:val="left" w:leader="none"/>
        </w:tabs>
        <w:spacing w:line="240" w:lineRule="auto" w:before="119" w:after="0"/>
        <w:ind w:left="738" w:right="487" w:hanging="360"/>
        <w:jc w:val="left"/>
        <w:rPr>
          <w:sz w:val="18"/>
        </w:rPr>
      </w:pPr>
      <w:r>
        <w:rPr>
          <w:sz w:val="18"/>
        </w:rPr>
        <w:t>In order for the objectives of </w:t>
      </w:r>
      <w:r>
        <w:rPr>
          <w:i/>
          <w:sz w:val="18"/>
        </w:rPr>
        <w:t>Our Way </w:t>
      </w:r>
      <w:r>
        <w:rPr>
          <w:sz w:val="18"/>
        </w:rPr>
        <w:t>to be achieved, system change is required. To what extent do you perceive your organisation sees itself as part of the </w:t>
      </w:r>
      <w:r>
        <w:rPr>
          <w:i/>
          <w:sz w:val="18"/>
        </w:rPr>
        <w:t>Our Way</w:t>
      </w:r>
      <w:r>
        <w:rPr>
          <w:i/>
          <w:spacing w:val="-20"/>
          <w:sz w:val="18"/>
        </w:rPr>
        <w:t> </w:t>
      </w:r>
      <w:r>
        <w:rPr>
          <w:sz w:val="18"/>
        </w:rPr>
        <w:t>system?</w:t>
      </w:r>
    </w:p>
    <w:p>
      <w:pPr>
        <w:pStyle w:val="ListParagraph"/>
        <w:numPr>
          <w:ilvl w:val="0"/>
          <w:numId w:val="56"/>
        </w:numPr>
        <w:tabs>
          <w:tab w:pos="739" w:val="left" w:leader="none"/>
        </w:tabs>
        <w:spacing w:line="240" w:lineRule="auto" w:before="120" w:after="0"/>
        <w:ind w:left="738" w:right="1145" w:hanging="360"/>
        <w:jc w:val="left"/>
        <w:rPr>
          <w:sz w:val="18"/>
        </w:rPr>
      </w:pPr>
      <w:r>
        <w:rPr>
          <w:sz w:val="18"/>
        </w:rPr>
        <w:t>What change is required in the system in order for </w:t>
      </w:r>
      <w:r>
        <w:rPr>
          <w:i/>
          <w:sz w:val="18"/>
        </w:rPr>
        <w:t>Our Way </w:t>
      </w:r>
      <w:r>
        <w:rPr>
          <w:sz w:val="18"/>
        </w:rPr>
        <w:t>to achieve its intended objectives? What barriers or enablers exist to help or hinder this</w:t>
      </w:r>
      <w:r>
        <w:rPr>
          <w:spacing w:val="-19"/>
          <w:sz w:val="18"/>
        </w:rPr>
        <w:t> </w:t>
      </w:r>
      <w:r>
        <w:rPr>
          <w:sz w:val="18"/>
        </w:rPr>
        <w:t>change?</w:t>
      </w:r>
    </w:p>
    <w:p>
      <w:pPr>
        <w:pStyle w:val="ListParagraph"/>
        <w:numPr>
          <w:ilvl w:val="0"/>
          <w:numId w:val="56"/>
        </w:numPr>
        <w:tabs>
          <w:tab w:pos="739" w:val="left" w:leader="none"/>
        </w:tabs>
        <w:spacing w:line="240" w:lineRule="auto" w:before="121" w:after="0"/>
        <w:ind w:left="738" w:right="270" w:hanging="360"/>
        <w:jc w:val="left"/>
        <w:rPr>
          <w:sz w:val="18"/>
        </w:rPr>
      </w:pPr>
      <w:r>
        <w:rPr>
          <w:sz w:val="18"/>
        </w:rPr>
        <w:t>Has your organisation made any changes to its operating model (including people, processes and technology/information sharing) since the commencement of </w:t>
      </w:r>
      <w:r>
        <w:rPr>
          <w:i/>
          <w:sz w:val="18"/>
        </w:rPr>
        <w:t>Our Way</w:t>
      </w:r>
      <w:r>
        <w:rPr>
          <w:sz w:val="18"/>
        </w:rPr>
        <w:t>? To what extent have these been effective, and why/why</w:t>
      </w:r>
      <w:r>
        <w:rPr>
          <w:spacing w:val="-10"/>
          <w:sz w:val="18"/>
        </w:rPr>
        <w:t> </w:t>
      </w:r>
      <w:r>
        <w:rPr>
          <w:sz w:val="18"/>
        </w:rPr>
        <w:t>not?</w:t>
      </w:r>
    </w:p>
    <w:p>
      <w:pPr>
        <w:pStyle w:val="ListParagraph"/>
        <w:numPr>
          <w:ilvl w:val="0"/>
          <w:numId w:val="56"/>
        </w:numPr>
        <w:tabs>
          <w:tab w:pos="739" w:val="left" w:leader="none"/>
        </w:tabs>
        <w:spacing w:line="264" w:lineRule="auto" w:before="141" w:after="0"/>
        <w:ind w:left="738" w:right="393" w:hanging="360"/>
        <w:jc w:val="left"/>
        <w:rPr>
          <w:sz w:val="18"/>
        </w:rPr>
      </w:pPr>
      <w:r>
        <w:rPr>
          <w:sz w:val="18"/>
        </w:rPr>
        <w:t>What role do you think Aboriginal and Torres Strait Islander Community Controlled Organisations and community should play in the future system? What barriers/enablers will impact upon</w:t>
      </w:r>
      <w:r>
        <w:rPr>
          <w:spacing w:val="-5"/>
          <w:sz w:val="18"/>
        </w:rPr>
        <w:t> </w:t>
      </w:r>
      <w:r>
        <w:rPr>
          <w:sz w:val="18"/>
        </w:rPr>
        <w:t>this?</w:t>
      </w:r>
    </w:p>
    <w:p>
      <w:pPr>
        <w:pStyle w:val="Heading4"/>
        <w:spacing w:before="118"/>
        <w:ind w:left="320"/>
      </w:pPr>
      <w:bookmarkStart w:name="_bookmark104" w:id="165"/>
      <w:bookmarkEnd w:id="165"/>
      <w:r>
        <w:rPr>
          <w:b w:val="0"/>
        </w:rPr>
      </w:r>
      <w:r>
        <w:rPr/>
        <w:t>Breaking Cycles Action Plans</w:t>
      </w:r>
    </w:p>
    <w:p>
      <w:pPr>
        <w:pStyle w:val="ListParagraph"/>
        <w:numPr>
          <w:ilvl w:val="0"/>
          <w:numId w:val="56"/>
        </w:numPr>
        <w:tabs>
          <w:tab w:pos="739" w:val="left" w:leader="none"/>
        </w:tabs>
        <w:spacing w:line="240" w:lineRule="auto" w:before="120" w:after="0"/>
        <w:ind w:left="738" w:right="369" w:hanging="360"/>
        <w:jc w:val="left"/>
        <w:rPr>
          <w:sz w:val="18"/>
        </w:rPr>
      </w:pPr>
      <w:r>
        <w:rPr>
          <w:sz w:val="18"/>
        </w:rPr>
        <w:t>Reflecting on your experience of implementing </w:t>
      </w:r>
      <w:r>
        <w:rPr>
          <w:i/>
          <w:sz w:val="18"/>
        </w:rPr>
        <w:t>Our Way </w:t>
      </w:r>
      <w:r>
        <w:rPr>
          <w:sz w:val="18"/>
        </w:rPr>
        <w:t>to date, what are the key learnings that you will take forward to support implementation of the remaining Action</w:t>
      </w:r>
      <w:r>
        <w:rPr>
          <w:spacing w:val="-23"/>
          <w:sz w:val="18"/>
        </w:rPr>
        <w:t> </w:t>
      </w:r>
      <w:r>
        <w:rPr>
          <w:sz w:val="18"/>
        </w:rPr>
        <w:t>Plans?</w:t>
      </w:r>
    </w:p>
    <w:p>
      <w:pPr>
        <w:pStyle w:val="Heading4"/>
        <w:spacing w:before="141"/>
        <w:ind w:left="320"/>
      </w:pPr>
      <w:bookmarkStart w:name="_bookmark105" w:id="166"/>
      <w:bookmarkEnd w:id="166"/>
      <w:r>
        <w:rPr>
          <w:b w:val="0"/>
        </w:rPr>
      </w:r>
      <w:r>
        <w:rPr/>
        <w:t>Final Comments</w:t>
      </w:r>
    </w:p>
    <w:p>
      <w:pPr>
        <w:pStyle w:val="ListParagraph"/>
        <w:numPr>
          <w:ilvl w:val="0"/>
          <w:numId w:val="56"/>
        </w:numPr>
        <w:tabs>
          <w:tab w:pos="739" w:val="left" w:leader="none"/>
        </w:tabs>
        <w:spacing w:line="264" w:lineRule="auto" w:before="21" w:after="0"/>
        <w:ind w:left="738" w:right="367" w:hanging="360"/>
        <w:jc w:val="left"/>
        <w:rPr>
          <w:sz w:val="18"/>
        </w:rPr>
      </w:pPr>
      <w:r>
        <w:rPr>
          <w:sz w:val="18"/>
        </w:rPr>
        <w:t>Are there any other comments or areas that have not been discussed that you would like</w:t>
      </w:r>
      <w:r>
        <w:rPr>
          <w:spacing w:val="-37"/>
          <w:sz w:val="18"/>
        </w:rPr>
        <w:t> </w:t>
      </w:r>
      <w:r>
        <w:rPr>
          <w:sz w:val="18"/>
        </w:rPr>
        <w:t>to bring</w:t>
      </w:r>
      <w:r>
        <w:rPr>
          <w:spacing w:val="-3"/>
          <w:sz w:val="18"/>
        </w:rPr>
        <w:t> </w:t>
      </w:r>
      <w:r>
        <w:rPr>
          <w:sz w:val="18"/>
        </w:rPr>
        <w:t>up?</w:t>
      </w:r>
    </w:p>
    <w:p>
      <w:pPr>
        <w:spacing w:after="0" w:line="264" w:lineRule="auto"/>
        <w:jc w:val="left"/>
        <w:rPr>
          <w:sz w:val="18"/>
        </w:rPr>
        <w:sectPr>
          <w:pgSz w:w="11910" w:h="16840"/>
          <w:pgMar w:header="650" w:footer="420" w:top="1340" w:bottom="620" w:left="1120" w:right="1340"/>
        </w:sectPr>
      </w:pPr>
    </w:p>
    <w:p>
      <w:pPr>
        <w:spacing w:before="92"/>
        <w:ind w:left="4177" w:right="0" w:hanging="3856"/>
        <w:jc w:val="left"/>
        <w:rPr>
          <w:sz w:val="60"/>
        </w:rPr>
      </w:pPr>
      <w:r>
        <w:rPr>
          <w:position w:val="-12"/>
        </w:rPr>
        <w:drawing>
          <wp:inline distT="0" distB="0" distL="0" distR="0">
            <wp:extent cx="2157222" cy="372618"/>
            <wp:effectExtent l="0" t="0" r="0" b="0"/>
            <wp:docPr id="83" name="image63.png"/>
            <wp:cNvGraphicFramePr>
              <a:graphicFrameLocks noChangeAspect="1"/>
            </wp:cNvGraphicFramePr>
            <a:graphic>
              <a:graphicData uri="http://schemas.openxmlformats.org/drawingml/2006/picture">
                <pic:pic>
                  <pic:nvPicPr>
                    <pic:cNvPr id="84" name="image63.png"/>
                    <pic:cNvPicPr/>
                  </pic:nvPicPr>
                  <pic:blipFill>
                    <a:blip r:embed="rId95" cstate="print"/>
                    <a:stretch>
                      <a:fillRect/>
                    </a:stretch>
                  </pic:blipFill>
                  <pic:spPr>
                    <a:xfrm>
                      <a:off x="0" y="0"/>
                      <a:ext cx="2157222" cy="372618"/>
                    </a:xfrm>
                    <a:prstGeom prst="rect">
                      <a:avLst/>
                    </a:prstGeom>
                  </pic:spPr>
                </pic:pic>
              </a:graphicData>
            </a:graphic>
          </wp:inline>
        </w:drawing>
      </w:r>
      <w:r>
        <w:rPr>
          <w:position w:val="-12"/>
        </w:rPr>
      </w:r>
      <w:r>
        <w:rPr>
          <w:rFonts w:ascii="Times New Roman"/>
          <w:sz w:val="20"/>
        </w:rPr>
        <w:t>        </w:t>
      </w:r>
      <w:r>
        <w:rPr>
          <w:rFonts w:ascii="Times New Roman"/>
          <w:spacing w:val="8"/>
          <w:sz w:val="20"/>
        </w:rPr>
        <w:t> </w:t>
      </w:r>
      <w:bookmarkStart w:name="_bookmark106" w:id="167"/>
      <w:bookmarkEnd w:id="167"/>
      <w:r>
        <w:rPr>
          <w:rFonts w:ascii="Times New Roman"/>
          <w:spacing w:val="8"/>
          <w:sz w:val="20"/>
        </w:rPr>
      </w:r>
      <w:r>
        <w:rPr>
          <w:sz w:val="60"/>
        </w:rPr>
        <w:t>Network </w:t>
      </w:r>
      <w:r>
        <w:rPr>
          <w:spacing w:val="-3"/>
          <w:sz w:val="60"/>
        </w:rPr>
        <w:t>analysis </w:t>
      </w:r>
      <w:r>
        <w:rPr>
          <w:sz w:val="60"/>
        </w:rPr>
        <w:t>survey</w:t>
      </w:r>
    </w:p>
    <w:p>
      <w:pPr>
        <w:pStyle w:val="BodyText"/>
        <w:rPr>
          <w:sz w:val="20"/>
        </w:rPr>
      </w:pPr>
    </w:p>
    <w:p>
      <w:pPr>
        <w:pStyle w:val="BodyText"/>
        <w:spacing w:before="4"/>
        <w:rPr>
          <w:sz w:val="19"/>
        </w:rPr>
      </w:pPr>
    </w:p>
    <w:p>
      <w:pPr>
        <w:pStyle w:val="Heading4"/>
        <w:spacing w:before="1"/>
        <w:ind w:left="320"/>
      </w:pPr>
      <w:r>
        <w:rPr/>
        <w:t>Part 1 - About you</w:t>
      </w:r>
    </w:p>
    <w:p>
      <w:pPr>
        <w:pStyle w:val="BodyText"/>
        <w:spacing w:line="219" w:lineRule="exact" w:before="177"/>
        <w:ind w:right="7202"/>
        <w:jc w:val="right"/>
      </w:pPr>
      <w:r>
        <w:rPr/>
        <w:t>Q1. Do you work for:</w:t>
      </w:r>
    </w:p>
    <w:p>
      <w:pPr>
        <w:pStyle w:val="ListParagraph"/>
        <w:numPr>
          <w:ilvl w:val="0"/>
          <w:numId w:val="58"/>
        </w:numPr>
        <w:tabs>
          <w:tab w:pos="359" w:val="left" w:leader="none"/>
          <w:tab w:pos="360" w:val="left" w:leader="none"/>
        </w:tabs>
        <w:spacing w:line="227" w:lineRule="exact" w:before="0" w:after="0"/>
        <w:ind w:left="1040" w:right="7282" w:hanging="1041"/>
        <w:jc w:val="right"/>
        <w:rPr>
          <w:rFonts w:ascii="Courier New" w:hAnsi="Courier New"/>
          <w:sz w:val="18"/>
        </w:rPr>
      </w:pPr>
      <w:r>
        <w:rPr>
          <w:spacing w:val="-1"/>
          <w:sz w:val="18"/>
        </w:rPr>
        <w:t>Government</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18"/>
        </w:rPr>
      </w:pPr>
      <w:r>
        <w:rPr>
          <w:sz w:val="18"/>
        </w:rPr>
        <w:t>Non-government</w:t>
      </w:r>
      <w:r>
        <w:rPr>
          <w:spacing w:val="-1"/>
          <w:sz w:val="18"/>
        </w:rPr>
        <w:t> </w:t>
      </w:r>
      <w:r>
        <w:rPr>
          <w:sz w:val="18"/>
        </w:rPr>
        <w:t>organisation</w:t>
      </w:r>
    </w:p>
    <w:p>
      <w:pPr>
        <w:pStyle w:val="ListParagraph"/>
        <w:numPr>
          <w:ilvl w:val="0"/>
          <w:numId w:val="58"/>
        </w:numPr>
        <w:tabs>
          <w:tab w:pos="1040" w:val="left" w:leader="none"/>
          <w:tab w:pos="1041" w:val="left" w:leader="none"/>
        </w:tabs>
        <w:spacing w:line="219" w:lineRule="exact" w:before="0" w:after="0"/>
        <w:ind w:left="1040" w:right="0" w:hanging="361"/>
        <w:jc w:val="left"/>
        <w:rPr>
          <w:rFonts w:ascii="Courier New" w:hAnsi="Courier New"/>
          <w:sz w:val="18"/>
        </w:rPr>
      </w:pPr>
      <w:r>
        <w:rPr>
          <w:sz w:val="18"/>
        </w:rPr>
        <w:t>Aboriginal and Torres Strait Islander Community Controlled</w:t>
      </w:r>
      <w:r>
        <w:rPr>
          <w:spacing w:val="-11"/>
          <w:sz w:val="18"/>
        </w:rPr>
        <w:t> </w:t>
      </w:r>
      <w:r>
        <w:rPr>
          <w:sz w:val="18"/>
        </w:rPr>
        <w:t>Organisation</w:t>
      </w:r>
    </w:p>
    <w:p>
      <w:pPr>
        <w:pStyle w:val="ListParagraph"/>
        <w:numPr>
          <w:ilvl w:val="0"/>
          <w:numId w:val="58"/>
        </w:numPr>
        <w:tabs>
          <w:tab w:pos="1040" w:val="left" w:leader="none"/>
          <w:tab w:pos="1041" w:val="left" w:leader="none"/>
        </w:tabs>
        <w:spacing w:line="219" w:lineRule="exact" w:before="0" w:after="0"/>
        <w:ind w:left="1040" w:right="0" w:hanging="361"/>
        <w:jc w:val="left"/>
        <w:rPr>
          <w:rFonts w:ascii="Courier New" w:hAnsi="Courier New"/>
          <w:sz w:val="18"/>
        </w:rPr>
      </w:pPr>
      <w:r>
        <w:rPr>
          <w:sz w:val="18"/>
        </w:rPr>
        <w:t>Other, please</w:t>
      </w:r>
      <w:r>
        <w:rPr>
          <w:spacing w:val="-4"/>
          <w:sz w:val="18"/>
        </w:rPr>
        <w:t> </w:t>
      </w:r>
      <w:r>
        <w:rPr>
          <w:sz w:val="18"/>
        </w:rPr>
        <w:t>specify;</w:t>
      </w:r>
    </w:p>
    <w:p>
      <w:pPr>
        <w:pStyle w:val="ListParagraph"/>
        <w:numPr>
          <w:ilvl w:val="0"/>
          <w:numId w:val="58"/>
        </w:numPr>
        <w:tabs>
          <w:tab w:pos="1040" w:val="left" w:leader="none"/>
          <w:tab w:pos="1041" w:val="left" w:leader="none"/>
        </w:tabs>
        <w:spacing w:line="227" w:lineRule="exact" w:before="0" w:after="0"/>
        <w:ind w:left="1040" w:right="0" w:hanging="361"/>
        <w:jc w:val="left"/>
        <w:rPr>
          <w:rFonts w:ascii="Courier New" w:hAnsi="Courier New"/>
          <w:sz w:val="18"/>
        </w:rPr>
      </w:pPr>
      <w:r>
        <w:rPr>
          <w:sz w:val="18"/>
        </w:rPr>
        <w:t>N/A - I am a community</w:t>
      </w:r>
      <w:r>
        <w:rPr>
          <w:spacing w:val="-7"/>
          <w:sz w:val="18"/>
        </w:rPr>
        <w:t> </w:t>
      </w:r>
      <w:r>
        <w:rPr>
          <w:sz w:val="18"/>
        </w:rPr>
        <w:t>member</w:t>
      </w:r>
    </w:p>
    <w:p>
      <w:pPr>
        <w:pStyle w:val="BodyText"/>
        <w:spacing w:before="204"/>
        <w:ind w:left="320" w:right="443"/>
      </w:pPr>
      <w:r>
        <w:rPr/>
        <w:t>Q2. You selected Government in the previous question, which area of Government do you work for?</w:t>
      </w:r>
    </w:p>
    <w:p>
      <w:pPr>
        <w:pStyle w:val="ListParagraph"/>
        <w:numPr>
          <w:ilvl w:val="0"/>
          <w:numId w:val="58"/>
        </w:numPr>
        <w:tabs>
          <w:tab w:pos="1040" w:val="left" w:leader="none"/>
          <w:tab w:pos="1041" w:val="left" w:leader="none"/>
        </w:tabs>
        <w:spacing w:line="229" w:lineRule="exact" w:before="0" w:after="0"/>
        <w:ind w:left="1040" w:right="0" w:hanging="361"/>
        <w:jc w:val="left"/>
        <w:rPr>
          <w:rFonts w:ascii="Courier New" w:hAnsi="Courier New"/>
          <w:sz w:val="20"/>
        </w:rPr>
      </w:pPr>
      <w:r>
        <w:rPr>
          <w:sz w:val="18"/>
        </w:rPr>
        <w:t>Department of Children, Youth Justice and Multicultural</w:t>
      </w:r>
      <w:r>
        <w:rPr>
          <w:spacing w:val="-9"/>
          <w:sz w:val="18"/>
        </w:rPr>
        <w:t> </w:t>
      </w:r>
      <w:r>
        <w:rPr>
          <w:sz w:val="18"/>
        </w:rPr>
        <w:t>Affairs</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Department of Communities and Housing, Digital Economy and the</w:t>
      </w:r>
      <w:r>
        <w:rPr>
          <w:spacing w:val="-14"/>
          <w:sz w:val="18"/>
        </w:rPr>
        <w:t> </w:t>
      </w:r>
      <w:r>
        <w:rPr>
          <w:sz w:val="18"/>
        </w:rPr>
        <w:t>Arts</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Department of</w:t>
      </w:r>
      <w:r>
        <w:rPr>
          <w:spacing w:val="-3"/>
          <w:sz w:val="18"/>
        </w:rPr>
        <w:t> </w:t>
      </w:r>
      <w:r>
        <w:rPr>
          <w:sz w:val="18"/>
        </w:rPr>
        <w:t>Education</w:t>
      </w:r>
    </w:p>
    <w:p>
      <w:pPr>
        <w:pStyle w:val="ListParagraph"/>
        <w:numPr>
          <w:ilvl w:val="0"/>
          <w:numId w:val="58"/>
        </w:numPr>
        <w:tabs>
          <w:tab w:pos="1040" w:val="left" w:leader="none"/>
          <w:tab w:pos="1041" w:val="left" w:leader="none"/>
        </w:tabs>
        <w:spacing w:line="220" w:lineRule="exact" w:before="0" w:after="0"/>
        <w:ind w:left="1040" w:right="0" w:hanging="361"/>
        <w:jc w:val="left"/>
        <w:rPr>
          <w:rFonts w:ascii="Courier New" w:hAnsi="Courier New"/>
          <w:sz w:val="20"/>
        </w:rPr>
      </w:pPr>
      <w:r>
        <w:rPr>
          <w:sz w:val="18"/>
        </w:rPr>
        <w:t>Department of Justice and</w:t>
      </w:r>
      <w:r>
        <w:rPr>
          <w:spacing w:val="-3"/>
          <w:sz w:val="18"/>
        </w:rPr>
        <w:t> </w:t>
      </w:r>
      <w:r>
        <w:rPr>
          <w:sz w:val="18"/>
        </w:rPr>
        <w:t>Attorney-General</w:t>
      </w:r>
    </w:p>
    <w:p>
      <w:pPr>
        <w:pStyle w:val="ListParagraph"/>
        <w:numPr>
          <w:ilvl w:val="0"/>
          <w:numId w:val="58"/>
        </w:numPr>
        <w:tabs>
          <w:tab w:pos="1040" w:val="left" w:leader="none"/>
          <w:tab w:pos="1041" w:val="left" w:leader="none"/>
        </w:tabs>
        <w:spacing w:line="218" w:lineRule="auto" w:before="5" w:after="0"/>
        <w:ind w:left="1040" w:right="1141" w:hanging="360"/>
        <w:jc w:val="left"/>
        <w:rPr>
          <w:rFonts w:ascii="Courier New" w:hAnsi="Courier New"/>
          <w:sz w:val="20"/>
        </w:rPr>
      </w:pPr>
      <w:r>
        <w:rPr>
          <w:sz w:val="18"/>
        </w:rPr>
        <w:t>Department of Seniors, Disability Services, Aboriginal and Torres Strait Islander Partnerships</w:t>
      </w:r>
    </w:p>
    <w:p>
      <w:pPr>
        <w:pStyle w:val="ListParagraph"/>
        <w:numPr>
          <w:ilvl w:val="0"/>
          <w:numId w:val="58"/>
        </w:numPr>
        <w:tabs>
          <w:tab w:pos="1040" w:val="left" w:leader="none"/>
          <w:tab w:pos="1041" w:val="left" w:leader="none"/>
        </w:tabs>
        <w:spacing w:line="230" w:lineRule="exact" w:before="2" w:after="0"/>
        <w:ind w:left="1040" w:right="0" w:hanging="361"/>
        <w:jc w:val="left"/>
        <w:rPr>
          <w:rFonts w:ascii="Courier New" w:hAnsi="Courier New"/>
          <w:sz w:val="20"/>
        </w:rPr>
      </w:pPr>
      <w:r>
        <w:rPr>
          <w:sz w:val="18"/>
        </w:rPr>
        <w:t>Department of the Premier and</w:t>
      </w:r>
      <w:r>
        <w:rPr>
          <w:spacing w:val="-9"/>
          <w:sz w:val="18"/>
        </w:rPr>
        <w:t> </w:t>
      </w:r>
      <w:r>
        <w:rPr>
          <w:sz w:val="18"/>
        </w:rPr>
        <w:t>Cabinet</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Queensland</w:t>
      </w:r>
      <w:r>
        <w:rPr>
          <w:spacing w:val="-2"/>
          <w:sz w:val="18"/>
        </w:rPr>
        <w:t> </w:t>
      </w:r>
      <w:r>
        <w:rPr>
          <w:sz w:val="18"/>
        </w:rPr>
        <w:t>Health</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Queensland</w:t>
      </w:r>
      <w:r>
        <w:rPr>
          <w:spacing w:val="-2"/>
          <w:sz w:val="18"/>
        </w:rPr>
        <w:t> </w:t>
      </w:r>
      <w:r>
        <w:rPr>
          <w:sz w:val="18"/>
        </w:rPr>
        <w:t>Treasury</w:t>
      </w:r>
    </w:p>
    <w:p>
      <w:pPr>
        <w:pStyle w:val="ListParagraph"/>
        <w:numPr>
          <w:ilvl w:val="0"/>
          <w:numId w:val="58"/>
        </w:numPr>
        <w:tabs>
          <w:tab w:pos="1040" w:val="left" w:leader="none"/>
          <w:tab w:pos="1041" w:val="left" w:leader="none"/>
          <w:tab w:pos="8653" w:val="left" w:leader="none"/>
        </w:tabs>
        <w:spacing w:line="230" w:lineRule="exact" w:before="0" w:after="0"/>
        <w:ind w:left="1040" w:right="0" w:hanging="361"/>
        <w:jc w:val="left"/>
        <w:rPr>
          <w:rFonts w:ascii="Courier New" w:hAnsi="Courier New"/>
          <w:sz w:val="20"/>
        </w:rPr>
      </w:pPr>
      <w:r>
        <w:rPr>
          <w:sz w:val="18"/>
        </w:rPr>
        <w:t>Other; please</w:t>
      </w:r>
      <w:r>
        <w:rPr>
          <w:spacing w:val="-4"/>
          <w:sz w:val="18"/>
        </w:rPr>
        <w:t> </w:t>
      </w:r>
      <w:r>
        <w:rPr>
          <w:sz w:val="18"/>
        </w:rPr>
        <w:t>specify:</w:t>
      </w:r>
      <w:r>
        <w:rPr>
          <w:spacing w:val="-1"/>
          <w:sz w:val="18"/>
        </w:rPr>
        <w:t> </w:t>
      </w:r>
      <w:r>
        <w:rPr>
          <w:sz w:val="18"/>
          <w:u w:val="single"/>
        </w:rPr>
        <w:t> </w:t>
        <w:tab/>
      </w:r>
    </w:p>
    <w:p>
      <w:pPr>
        <w:pStyle w:val="BodyText"/>
        <w:spacing w:before="198"/>
        <w:ind w:left="320" w:right="454"/>
      </w:pPr>
      <w:r>
        <w:rPr/>
        <w:t>Q3. You selected Non-government organisation in the previous question, which organisation do you work for?</w:t>
      </w:r>
    </w:p>
    <w:p>
      <w:pPr>
        <w:pStyle w:val="ListParagraph"/>
        <w:numPr>
          <w:ilvl w:val="0"/>
          <w:numId w:val="58"/>
        </w:numPr>
        <w:tabs>
          <w:tab w:pos="1040" w:val="left" w:leader="none"/>
          <w:tab w:pos="1041" w:val="left" w:leader="none"/>
        </w:tabs>
        <w:spacing w:line="218" w:lineRule="auto" w:before="15" w:after="0"/>
        <w:ind w:left="1040" w:right="302" w:hanging="360"/>
        <w:jc w:val="left"/>
        <w:rPr>
          <w:rFonts w:ascii="Courier New" w:hAnsi="Courier New"/>
          <w:sz w:val="20"/>
        </w:rPr>
      </w:pPr>
      <w:r>
        <w:rPr>
          <w:sz w:val="18"/>
        </w:rPr>
        <w:t>Queensland Aboriginal and Torres Strait Islander Child Protection Peak or member of this organisation</w:t>
      </w:r>
    </w:p>
    <w:p>
      <w:pPr>
        <w:pStyle w:val="ListParagraph"/>
        <w:numPr>
          <w:ilvl w:val="0"/>
          <w:numId w:val="58"/>
        </w:numPr>
        <w:tabs>
          <w:tab w:pos="1040" w:val="left" w:leader="none"/>
          <w:tab w:pos="1041" w:val="left" w:leader="none"/>
        </w:tabs>
        <w:spacing w:line="230" w:lineRule="exact" w:before="2" w:after="0"/>
        <w:ind w:left="1040" w:right="0" w:hanging="361"/>
        <w:jc w:val="left"/>
        <w:rPr>
          <w:rFonts w:ascii="Courier New" w:hAnsi="Courier New"/>
          <w:sz w:val="20"/>
        </w:rPr>
      </w:pPr>
      <w:r>
        <w:rPr>
          <w:sz w:val="18"/>
        </w:rPr>
        <w:t>Queensland Family and Child</w:t>
      </w:r>
      <w:r>
        <w:rPr>
          <w:spacing w:val="-6"/>
          <w:sz w:val="18"/>
        </w:rPr>
        <w:t> </w:t>
      </w:r>
      <w:r>
        <w:rPr>
          <w:sz w:val="18"/>
        </w:rPr>
        <w:t>Commission</w:t>
      </w:r>
    </w:p>
    <w:p>
      <w:pPr>
        <w:pStyle w:val="ListParagraph"/>
        <w:numPr>
          <w:ilvl w:val="0"/>
          <w:numId w:val="58"/>
        </w:numPr>
        <w:tabs>
          <w:tab w:pos="1040" w:val="left" w:leader="none"/>
          <w:tab w:pos="1041" w:val="left" w:leader="none"/>
        </w:tabs>
        <w:spacing w:line="220" w:lineRule="exact" w:before="0" w:after="0"/>
        <w:ind w:left="1040" w:right="0" w:hanging="361"/>
        <w:jc w:val="left"/>
        <w:rPr>
          <w:rFonts w:ascii="Courier New" w:hAnsi="Courier New"/>
          <w:sz w:val="20"/>
        </w:rPr>
      </w:pPr>
      <w:r>
        <w:rPr>
          <w:sz w:val="18"/>
        </w:rPr>
        <w:t>Family Matters Queensland or member of this</w:t>
      </w:r>
      <w:r>
        <w:rPr>
          <w:spacing w:val="-12"/>
          <w:sz w:val="18"/>
        </w:rPr>
        <w:t> </w:t>
      </w:r>
      <w:r>
        <w:rPr>
          <w:sz w:val="18"/>
        </w:rPr>
        <w:t>organisation</w:t>
      </w:r>
    </w:p>
    <w:p>
      <w:pPr>
        <w:pStyle w:val="ListParagraph"/>
        <w:numPr>
          <w:ilvl w:val="0"/>
          <w:numId w:val="58"/>
        </w:numPr>
        <w:tabs>
          <w:tab w:pos="1040" w:val="left" w:leader="none"/>
          <w:tab w:pos="1041" w:val="left" w:leader="none"/>
          <w:tab w:pos="8653" w:val="left" w:leader="none"/>
        </w:tabs>
        <w:spacing w:line="231" w:lineRule="exact" w:before="0" w:after="0"/>
        <w:ind w:left="1040" w:right="0" w:hanging="361"/>
        <w:jc w:val="left"/>
        <w:rPr>
          <w:rFonts w:ascii="Courier New" w:hAnsi="Courier New"/>
          <w:sz w:val="20"/>
        </w:rPr>
      </w:pPr>
      <w:r>
        <w:rPr>
          <w:sz w:val="18"/>
        </w:rPr>
        <w:t>Other; please</w:t>
      </w:r>
      <w:r>
        <w:rPr>
          <w:spacing w:val="-4"/>
          <w:sz w:val="18"/>
        </w:rPr>
        <w:t> </w:t>
      </w:r>
      <w:r>
        <w:rPr>
          <w:sz w:val="18"/>
        </w:rPr>
        <w:t>specify:</w:t>
      </w:r>
      <w:r>
        <w:rPr>
          <w:spacing w:val="-2"/>
          <w:sz w:val="18"/>
        </w:rPr>
        <w:t> </w:t>
      </w:r>
      <w:r>
        <w:rPr>
          <w:sz w:val="18"/>
          <w:u w:val="single"/>
        </w:rPr>
        <w:t> </w:t>
        <w:tab/>
      </w:r>
    </w:p>
    <w:p>
      <w:pPr>
        <w:pStyle w:val="BodyText"/>
        <w:spacing w:line="219" w:lineRule="exact" w:before="195"/>
        <w:ind w:left="320"/>
      </w:pPr>
      <w:r>
        <w:rPr/>
        <w:t>Q4. Which region is in the headquarters for your organisation located within?</w:t>
      </w:r>
    </w:p>
    <w:p>
      <w:pPr>
        <w:pStyle w:val="ListParagraph"/>
        <w:numPr>
          <w:ilvl w:val="0"/>
          <w:numId w:val="58"/>
        </w:numPr>
        <w:tabs>
          <w:tab w:pos="1040" w:val="left" w:leader="none"/>
          <w:tab w:pos="1041" w:val="left" w:leader="none"/>
        </w:tabs>
        <w:spacing w:line="227" w:lineRule="exact" w:before="0" w:after="0"/>
        <w:ind w:left="1040" w:right="0" w:hanging="361"/>
        <w:jc w:val="left"/>
        <w:rPr>
          <w:rFonts w:ascii="Courier New" w:hAnsi="Courier New"/>
          <w:sz w:val="18"/>
        </w:rPr>
      </w:pPr>
      <w:r>
        <w:rPr>
          <w:sz w:val="18"/>
        </w:rPr>
        <w:t>Cairns and</w:t>
      </w:r>
      <w:r>
        <w:rPr>
          <w:spacing w:val="-3"/>
          <w:sz w:val="18"/>
        </w:rPr>
        <w:t> </w:t>
      </w:r>
      <w:r>
        <w:rPr>
          <w:sz w:val="18"/>
        </w:rPr>
        <w:t>Hinterland</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18"/>
        </w:rPr>
      </w:pPr>
      <w:r>
        <w:rPr>
          <w:sz w:val="18"/>
        </w:rPr>
        <w:t>Central</w:t>
      </w:r>
      <w:r>
        <w:rPr>
          <w:spacing w:val="-1"/>
          <w:sz w:val="18"/>
        </w:rPr>
        <w:t> </w:t>
      </w:r>
      <w:r>
        <w:rPr>
          <w:sz w:val="18"/>
        </w:rPr>
        <w:t>Queensland</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18"/>
        </w:rPr>
      </w:pPr>
      <w:r>
        <w:rPr>
          <w:sz w:val="18"/>
        </w:rPr>
        <w:t>Central West</w:t>
      </w:r>
    </w:p>
    <w:p>
      <w:pPr>
        <w:pStyle w:val="ListParagraph"/>
        <w:numPr>
          <w:ilvl w:val="0"/>
          <w:numId w:val="58"/>
        </w:numPr>
        <w:tabs>
          <w:tab w:pos="1040" w:val="left" w:leader="none"/>
          <w:tab w:pos="1041" w:val="left" w:leader="none"/>
        </w:tabs>
        <w:spacing w:line="220" w:lineRule="exact" w:before="0" w:after="0"/>
        <w:ind w:left="1040" w:right="0" w:hanging="361"/>
        <w:jc w:val="left"/>
        <w:rPr>
          <w:rFonts w:ascii="Courier New" w:hAnsi="Courier New"/>
          <w:sz w:val="18"/>
        </w:rPr>
      </w:pPr>
      <w:r>
        <w:rPr>
          <w:sz w:val="18"/>
        </w:rPr>
        <w:t>Darling</w:t>
      </w:r>
      <w:r>
        <w:rPr>
          <w:spacing w:val="-1"/>
          <w:sz w:val="18"/>
        </w:rPr>
        <w:t> </w:t>
      </w:r>
      <w:r>
        <w:rPr>
          <w:sz w:val="18"/>
        </w:rPr>
        <w:t>Downs</w:t>
      </w:r>
    </w:p>
    <w:p>
      <w:pPr>
        <w:pStyle w:val="ListParagraph"/>
        <w:numPr>
          <w:ilvl w:val="0"/>
          <w:numId w:val="58"/>
        </w:numPr>
        <w:tabs>
          <w:tab w:pos="1040" w:val="left" w:leader="none"/>
          <w:tab w:pos="1041" w:val="left" w:leader="none"/>
        </w:tabs>
        <w:spacing w:line="220" w:lineRule="exact" w:before="0" w:after="0"/>
        <w:ind w:left="1040" w:right="0" w:hanging="361"/>
        <w:jc w:val="left"/>
        <w:rPr>
          <w:rFonts w:ascii="Courier New" w:hAnsi="Courier New"/>
          <w:sz w:val="18"/>
        </w:rPr>
      </w:pPr>
      <w:r>
        <w:rPr>
          <w:sz w:val="18"/>
        </w:rPr>
        <w:t>Gold</w:t>
      </w:r>
      <w:r>
        <w:rPr>
          <w:spacing w:val="-2"/>
          <w:sz w:val="18"/>
        </w:rPr>
        <w:t> </w:t>
      </w:r>
      <w:r>
        <w:rPr>
          <w:sz w:val="18"/>
        </w:rPr>
        <w:t>Coast</w:t>
      </w:r>
    </w:p>
    <w:p>
      <w:pPr>
        <w:pStyle w:val="ListParagraph"/>
        <w:numPr>
          <w:ilvl w:val="0"/>
          <w:numId w:val="58"/>
        </w:numPr>
        <w:tabs>
          <w:tab w:pos="1040" w:val="left" w:leader="none"/>
          <w:tab w:pos="1041" w:val="left" w:leader="none"/>
        </w:tabs>
        <w:spacing w:line="219" w:lineRule="exact" w:before="0" w:after="0"/>
        <w:ind w:left="1040" w:right="0" w:hanging="361"/>
        <w:jc w:val="left"/>
        <w:rPr>
          <w:rFonts w:ascii="Courier New" w:hAnsi="Courier New"/>
          <w:sz w:val="18"/>
        </w:rPr>
      </w:pPr>
      <w:r>
        <w:rPr>
          <w:sz w:val="18"/>
        </w:rPr>
        <w:t>Mackay</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18"/>
        </w:rPr>
      </w:pPr>
      <w:r>
        <w:rPr>
          <w:sz w:val="18"/>
        </w:rPr>
        <w:t>Brisbane</w:t>
      </w:r>
      <w:r>
        <w:rPr>
          <w:spacing w:val="-2"/>
          <w:sz w:val="18"/>
        </w:rPr>
        <w:t> </w:t>
      </w:r>
      <w:r>
        <w:rPr>
          <w:sz w:val="18"/>
        </w:rPr>
        <w:t>North</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18"/>
        </w:rPr>
      </w:pPr>
      <w:r>
        <w:rPr>
          <w:sz w:val="18"/>
        </w:rPr>
        <w:t>Brisbane</w:t>
      </w:r>
      <w:r>
        <w:rPr>
          <w:spacing w:val="-3"/>
          <w:sz w:val="18"/>
        </w:rPr>
        <w:t> </w:t>
      </w:r>
      <w:r>
        <w:rPr>
          <w:sz w:val="18"/>
        </w:rPr>
        <w:t>South</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18"/>
        </w:rPr>
      </w:pPr>
      <w:r>
        <w:rPr>
          <w:sz w:val="18"/>
        </w:rPr>
        <w:t>North West</w:t>
      </w:r>
    </w:p>
    <w:p>
      <w:pPr>
        <w:pStyle w:val="ListParagraph"/>
        <w:numPr>
          <w:ilvl w:val="0"/>
          <w:numId w:val="58"/>
        </w:numPr>
        <w:tabs>
          <w:tab w:pos="1040" w:val="left" w:leader="none"/>
          <w:tab w:pos="1041" w:val="left" w:leader="none"/>
        </w:tabs>
        <w:spacing w:line="220" w:lineRule="exact" w:before="0" w:after="0"/>
        <w:ind w:left="1040" w:right="0" w:hanging="361"/>
        <w:jc w:val="left"/>
        <w:rPr>
          <w:rFonts w:ascii="Courier New" w:hAnsi="Courier New"/>
          <w:sz w:val="18"/>
        </w:rPr>
      </w:pPr>
      <w:r>
        <w:rPr>
          <w:sz w:val="18"/>
        </w:rPr>
        <w:t>South</w:t>
      </w:r>
      <w:r>
        <w:rPr>
          <w:spacing w:val="-2"/>
          <w:sz w:val="18"/>
        </w:rPr>
        <w:t> </w:t>
      </w:r>
      <w:r>
        <w:rPr>
          <w:sz w:val="18"/>
        </w:rPr>
        <w:t>West</w:t>
      </w:r>
    </w:p>
    <w:p>
      <w:pPr>
        <w:pStyle w:val="ListParagraph"/>
        <w:numPr>
          <w:ilvl w:val="0"/>
          <w:numId w:val="58"/>
        </w:numPr>
        <w:tabs>
          <w:tab w:pos="1040" w:val="left" w:leader="none"/>
          <w:tab w:pos="1041" w:val="left" w:leader="none"/>
        </w:tabs>
        <w:spacing w:line="220" w:lineRule="exact" w:before="0" w:after="0"/>
        <w:ind w:left="1040" w:right="0" w:hanging="361"/>
        <w:jc w:val="left"/>
        <w:rPr>
          <w:rFonts w:ascii="Courier New" w:hAnsi="Courier New"/>
          <w:sz w:val="18"/>
        </w:rPr>
      </w:pPr>
      <w:r>
        <w:rPr>
          <w:sz w:val="18"/>
        </w:rPr>
        <w:t>Sunshine</w:t>
      </w:r>
      <w:r>
        <w:rPr>
          <w:spacing w:val="-2"/>
          <w:sz w:val="18"/>
        </w:rPr>
        <w:t> </w:t>
      </w:r>
      <w:r>
        <w:rPr>
          <w:sz w:val="18"/>
        </w:rPr>
        <w:t>Coast</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18"/>
        </w:rPr>
      </w:pPr>
      <w:r>
        <w:rPr>
          <w:sz w:val="18"/>
        </w:rPr>
        <w:t>Torres and</w:t>
      </w:r>
      <w:r>
        <w:rPr>
          <w:spacing w:val="-3"/>
          <w:sz w:val="18"/>
        </w:rPr>
        <w:t> </w:t>
      </w:r>
      <w:r>
        <w:rPr>
          <w:sz w:val="18"/>
        </w:rPr>
        <w:t>Cape</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18"/>
        </w:rPr>
      </w:pPr>
      <w:r>
        <w:rPr>
          <w:sz w:val="18"/>
        </w:rPr>
        <w:t>Townsville</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18"/>
        </w:rPr>
      </w:pPr>
      <w:r>
        <w:rPr>
          <w:sz w:val="18"/>
        </w:rPr>
        <w:t>West</w:t>
      </w:r>
      <w:r>
        <w:rPr>
          <w:spacing w:val="-1"/>
          <w:sz w:val="18"/>
        </w:rPr>
        <w:t> </w:t>
      </w:r>
      <w:r>
        <w:rPr>
          <w:sz w:val="18"/>
        </w:rPr>
        <w:t>Moreton</w:t>
      </w:r>
    </w:p>
    <w:p>
      <w:pPr>
        <w:pStyle w:val="ListParagraph"/>
        <w:numPr>
          <w:ilvl w:val="0"/>
          <w:numId w:val="58"/>
        </w:numPr>
        <w:tabs>
          <w:tab w:pos="1040" w:val="left" w:leader="none"/>
          <w:tab w:pos="1041" w:val="left" w:leader="none"/>
        </w:tabs>
        <w:spacing w:line="227" w:lineRule="exact" w:before="0" w:after="0"/>
        <w:ind w:left="1040" w:right="0" w:hanging="361"/>
        <w:jc w:val="left"/>
        <w:rPr>
          <w:rFonts w:ascii="Courier New" w:hAnsi="Courier New"/>
          <w:sz w:val="18"/>
        </w:rPr>
      </w:pPr>
      <w:r>
        <w:rPr>
          <w:sz w:val="18"/>
        </w:rPr>
        <w:t>Wide</w:t>
      </w:r>
      <w:r>
        <w:rPr>
          <w:spacing w:val="-1"/>
          <w:sz w:val="18"/>
        </w:rPr>
        <w:t> </w:t>
      </w:r>
      <w:r>
        <w:rPr>
          <w:sz w:val="18"/>
        </w:rPr>
        <w:t>Bay</w:t>
      </w:r>
    </w:p>
    <w:p>
      <w:pPr>
        <w:pStyle w:val="BodyText"/>
        <w:spacing w:before="202"/>
        <w:ind w:left="320"/>
      </w:pPr>
      <w:r>
        <w:rPr/>
        <w:t>Q5. Do you identify as working on a traditional land?</w:t>
      </w:r>
    </w:p>
    <w:p>
      <w:pPr>
        <w:pStyle w:val="ListParagraph"/>
        <w:numPr>
          <w:ilvl w:val="0"/>
          <w:numId w:val="58"/>
        </w:numPr>
        <w:tabs>
          <w:tab w:pos="1040" w:val="left" w:leader="none"/>
          <w:tab w:pos="1041" w:val="left" w:leader="none"/>
        </w:tabs>
        <w:spacing w:line="227" w:lineRule="exact" w:before="2" w:after="0"/>
        <w:ind w:left="1040" w:right="0" w:hanging="361"/>
        <w:jc w:val="left"/>
        <w:rPr>
          <w:rFonts w:ascii="Courier New" w:hAnsi="Courier New"/>
          <w:sz w:val="18"/>
        </w:rPr>
      </w:pPr>
      <w:r>
        <w:rPr>
          <w:sz w:val="18"/>
        </w:rPr>
        <w:t>Yes</w:t>
      </w:r>
    </w:p>
    <w:p>
      <w:pPr>
        <w:pStyle w:val="ListParagraph"/>
        <w:numPr>
          <w:ilvl w:val="0"/>
          <w:numId w:val="58"/>
        </w:numPr>
        <w:tabs>
          <w:tab w:pos="1040" w:val="left" w:leader="none"/>
          <w:tab w:pos="1041" w:val="left" w:leader="none"/>
        </w:tabs>
        <w:spacing w:line="227" w:lineRule="exact" w:before="0" w:after="0"/>
        <w:ind w:left="1040" w:right="0" w:hanging="361"/>
        <w:jc w:val="left"/>
        <w:rPr>
          <w:rFonts w:ascii="Courier New" w:hAnsi="Courier New"/>
          <w:sz w:val="18"/>
        </w:rPr>
      </w:pPr>
      <w:r>
        <w:rPr>
          <w:sz w:val="18"/>
        </w:rPr>
        <w:t>No</w:t>
      </w:r>
    </w:p>
    <w:p>
      <w:pPr>
        <w:pStyle w:val="BodyText"/>
        <w:spacing w:before="202"/>
        <w:ind w:left="320" w:right="938"/>
      </w:pPr>
      <w:r>
        <w:rPr/>
        <w:t>Q6. What is your current role? Please select the role most appropriate to your role in your organisation.</w:t>
      </w:r>
    </w:p>
    <w:p>
      <w:pPr>
        <w:pStyle w:val="ListParagraph"/>
        <w:numPr>
          <w:ilvl w:val="0"/>
          <w:numId w:val="58"/>
        </w:numPr>
        <w:tabs>
          <w:tab w:pos="1040" w:val="left" w:leader="none"/>
          <w:tab w:pos="1041" w:val="left" w:leader="none"/>
        </w:tabs>
        <w:spacing w:line="229" w:lineRule="exact" w:before="0" w:after="0"/>
        <w:ind w:left="1040" w:right="0" w:hanging="361"/>
        <w:jc w:val="left"/>
        <w:rPr>
          <w:rFonts w:ascii="Courier New" w:hAnsi="Courier New"/>
          <w:sz w:val="20"/>
        </w:rPr>
      </w:pPr>
      <w:r>
        <w:rPr>
          <w:sz w:val="18"/>
        </w:rPr>
        <w:t>Frontline service</w:t>
      </w:r>
      <w:r>
        <w:rPr>
          <w:spacing w:val="-2"/>
          <w:sz w:val="18"/>
        </w:rPr>
        <w:t> </w:t>
      </w:r>
      <w:r>
        <w:rPr>
          <w:sz w:val="18"/>
        </w:rPr>
        <w:t>delivery</w:t>
      </w:r>
    </w:p>
    <w:p>
      <w:pPr>
        <w:pStyle w:val="ListParagraph"/>
        <w:numPr>
          <w:ilvl w:val="0"/>
          <w:numId w:val="58"/>
        </w:numPr>
        <w:tabs>
          <w:tab w:pos="1040" w:val="left" w:leader="none"/>
          <w:tab w:pos="1041" w:val="left" w:leader="none"/>
        </w:tabs>
        <w:spacing w:line="230" w:lineRule="exact" w:before="0" w:after="0"/>
        <w:ind w:left="1040" w:right="0" w:hanging="361"/>
        <w:jc w:val="left"/>
        <w:rPr>
          <w:rFonts w:ascii="Courier New" w:hAnsi="Courier New"/>
          <w:sz w:val="20"/>
        </w:rPr>
      </w:pPr>
      <w:r>
        <w:rPr>
          <w:sz w:val="18"/>
        </w:rPr>
        <w:t>Regional</w:t>
      </w:r>
      <w:r>
        <w:rPr>
          <w:spacing w:val="-1"/>
          <w:sz w:val="18"/>
        </w:rPr>
        <w:t> </w:t>
      </w:r>
      <w:r>
        <w:rPr>
          <w:sz w:val="18"/>
        </w:rPr>
        <w:t>operational</w:t>
      </w:r>
    </w:p>
    <w:p>
      <w:pPr>
        <w:spacing w:after="0" w:line="230" w:lineRule="exact"/>
        <w:jc w:val="left"/>
        <w:rPr>
          <w:rFonts w:ascii="Courier New" w:hAnsi="Courier New"/>
          <w:sz w:val="20"/>
        </w:rPr>
        <w:sectPr>
          <w:pgSz w:w="11910" w:h="16840"/>
          <w:pgMar w:header="650" w:footer="420" w:top="1340" w:bottom="620" w:left="1120" w:right="1340"/>
        </w:sectPr>
      </w:pPr>
    </w:p>
    <w:p>
      <w:pPr>
        <w:pStyle w:val="ListParagraph"/>
        <w:numPr>
          <w:ilvl w:val="0"/>
          <w:numId w:val="58"/>
        </w:numPr>
        <w:tabs>
          <w:tab w:pos="1040" w:val="left" w:leader="none"/>
          <w:tab w:pos="1041" w:val="left" w:leader="none"/>
        </w:tabs>
        <w:spacing w:line="230" w:lineRule="exact" w:before="90" w:after="0"/>
        <w:ind w:left="1040" w:right="0" w:hanging="361"/>
        <w:jc w:val="left"/>
        <w:rPr>
          <w:rFonts w:ascii="Courier New" w:hAnsi="Courier New"/>
          <w:sz w:val="20"/>
        </w:rPr>
      </w:pPr>
      <w:r>
        <w:rPr>
          <w:sz w:val="18"/>
        </w:rPr>
        <w:t>Central policy and</w:t>
      </w:r>
      <w:r>
        <w:rPr>
          <w:spacing w:val="-2"/>
          <w:sz w:val="18"/>
        </w:rPr>
        <w:t> </w:t>
      </w:r>
      <w:r>
        <w:rPr>
          <w:sz w:val="18"/>
        </w:rPr>
        <w:t>strategy</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Sector</w:t>
      </w:r>
      <w:r>
        <w:rPr>
          <w:spacing w:val="-2"/>
          <w:sz w:val="18"/>
        </w:rPr>
        <w:t> </w:t>
      </w:r>
      <w:r>
        <w:rPr>
          <w:sz w:val="18"/>
        </w:rPr>
        <w:t>development</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Executive</w:t>
      </w:r>
    </w:p>
    <w:p>
      <w:pPr>
        <w:pStyle w:val="ListParagraph"/>
        <w:numPr>
          <w:ilvl w:val="0"/>
          <w:numId w:val="58"/>
        </w:numPr>
        <w:tabs>
          <w:tab w:pos="1040" w:val="left" w:leader="none"/>
          <w:tab w:pos="1041" w:val="left" w:leader="none"/>
          <w:tab w:pos="8653" w:val="left" w:leader="none"/>
        </w:tabs>
        <w:spacing w:line="230" w:lineRule="exact" w:before="0" w:after="0"/>
        <w:ind w:left="1040" w:right="0" w:hanging="361"/>
        <w:jc w:val="left"/>
        <w:rPr>
          <w:rFonts w:ascii="Courier New" w:hAnsi="Courier New"/>
          <w:sz w:val="20"/>
        </w:rPr>
      </w:pPr>
      <w:r>
        <w:rPr>
          <w:sz w:val="18"/>
        </w:rPr>
        <w:t>Other; please</w:t>
      </w:r>
      <w:r>
        <w:rPr>
          <w:spacing w:val="-4"/>
          <w:sz w:val="18"/>
        </w:rPr>
        <w:t> </w:t>
      </w:r>
      <w:r>
        <w:rPr>
          <w:sz w:val="18"/>
        </w:rPr>
        <w:t>specify:</w:t>
      </w:r>
      <w:r>
        <w:rPr>
          <w:spacing w:val="-2"/>
          <w:sz w:val="18"/>
        </w:rPr>
        <w:t> </w:t>
      </w:r>
      <w:r>
        <w:rPr>
          <w:sz w:val="18"/>
          <w:u w:val="single"/>
        </w:rPr>
        <w:t> </w:t>
        <w:tab/>
      </w:r>
    </w:p>
    <w:p>
      <w:pPr>
        <w:pStyle w:val="BodyText"/>
        <w:spacing w:line="219" w:lineRule="exact" w:before="198"/>
        <w:ind w:left="320"/>
      </w:pPr>
      <w:r>
        <w:rPr/>
        <w:t>Q7. How long have you been at this organisation?</w:t>
      </w:r>
    </w:p>
    <w:p>
      <w:pPr>
        <w:pStyle w:val="ListParagraph"/>
        <w:numPr>
          <w:ilvl w:val="0"/>
          <w:numId w:val="58"/>
        </w:numPr>
        <w:tabs>
          <w:tab w:pos="1040" w:val="left" w:leader="none"/>
          <w:tab w:pos="1041" w:val="left" w:leader="none"/>
        </w:tabs>
        <w:spacing w:line="230" w:lineRule="exact" w:before="0" w:after="0"/>
        <w:ind w:left="1040" w:right="0" w:hanging="361"/>
        <w:jc w:val="left"/>
        <w:rPr>
          <w:rFonts w:ascii="Courier New" w:hAnsi="Courier New"/>
          <w:sz w:val="20"/>
        </w:rPr>
      </w:pPr>
      <w:r>
        <w:rPr>
          <w:sz w:val="18"/>
        </w:rPr>
        <w:t>Less than 1</w:t>
      </w:r>
      <w:r>
        <w:rPr>
          <w:spacing w:val="-4"/>
          <w:sz w:val="18"/>
        </w:rPr>
        <w:t> </w:t>
      </w:r>
      <w:r>
        <w:rPr>
          <w:sz w:val="18"/>
        </w:rPr>
        <w:t>year</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Between 1 and 3</w:t>
      </w:r>
      <w:r>
        <w:rPr>
          <w:spacing w:val="-6"/>
          <w:sz w:val="18"/>
        </w:rPr>
        <w:t> </w:t>
      </w:r>
      <w:r>
        <w:rPr>
          <w:sz w:val="18"/>
        </w:rPr>
        <w:t>years</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Between 3 and 6</w:t>
      </w:r>
      <w:r>
        <w:rPr>
          <w:spacing w:val="-6"/>
          <w:sz w:val="18"/>
        </w:rPr>
        <w:t> </w:t>
      </w:r>
      <w:r>
        <w:rPr>
          <w:sz w:val="18"/>
        </w:rPr>
        <w:t>years</w:t>
      </w:r>
    </w:p>
    <w:p>
      <w:pPr>
        <w:pStyle w:val="ListParagraph"/>
        <w:numPr>
          <w:ilvl w:val="0"/>
          <w:numId w:val="58"/>
        </w:numPr>
        <w:tabs>
          <w:tab w:pos="1040" w:val="left" w:leader="none"/>
          <w:tab w:pos="1041" w:val="left" w:leader="none"/>
        </w:tabs>
        <w:spacing w:line="219" w:lineRule="exact" w:before="0" w:after="0"/>
        <w:ind w:left="1040" w:right="0" w:hanging="361"/>
        <w:jc w:val="left"/>
        <w:rPr>
          <w:rFonts w:ascii="Courier New" w:hAnsi="Courier New"/>
          <w:sz w:val="20"/>
        </w:rPr>
      </w:pPr>
      <w:r>
        <w:rPr>
          <w:sz w:val="18"/>
        </w:rPr>
        <w:t>Between 6 and 10</w:t>
      </w:r>
      <w:r>
        <w:rPr>
          <w:spacing w:val="-4"/>
          <w:sz w:val="18"/>
        </w:rPr>
        <w:t> </w:t>
      </w:r>
      <w:r>
        <w:rPr>
          <w:sz w:val="18"/>
        </w:rPr>
        <w:t>years</w:t>
      </w:r>
    </w:p>
    <w:p>
      <w:pPr>
        <w:pStyle w:val="ListParagraph"/>
        <w:numPr>
          <w:ilvl w:val="1"/>
          <w:numId w:val="56"/>
        </w:numPr>
        <w:tabs>
          <w:tab w:pos="1041" w:val="left" w:leader="none"/>
        </w:tabs>
        <w:spacing w:line="233" w:lineRule="exact" w:before="0" w:after="0"/>
        <w:ind w:left="1040" w:right="0" w:hanging="361"/>
        <w:jc w:val="left"/>
        <w:rPr>
          <w:sz w:val="18"/>
        </w:rPr>
      </w:pPr>
      <w:r>
        <w:rPr>
          <w:sz w:val="18"/>
        </w:rPr>
        <w:t>10 years or</w:t>
      </w:r>
      <w:r>
        <w:rPr>
          <w:spacing w:val="-4"/>
          <w:sz w:val="18"/>
        </w:rPr>
        <w:t> </w:t>
      </w:r>
      <w:r>
        <w:rPr>
          <w:sz w:val="18"/>
        </w:rPr>
        <w:t>more</w:t>
      </w:r>
    </w:p>
    <w:p>
      <w:pPr>
        <w:pStyle w:val="BodyText"/>
        <w:spacing w:line="219" w:lineRule="exact" w:before="214"/>
        <w:ind w:left="320"/>
      </w:pPr>
      <w:r>
        <w:rPr/>
        <w:t>Q8. Are you of Aboriginal or Torres Strait Islander origin?</w:t>
      </w:r>
    </w:p>
    <w:p>
      <w:pPr>
        <w:pStyle w:val="ListParagraph"/>
        <w:numPr>
          <w:ilvl w:val="0"/>
          <w:numId w:val="58"/>
        </w:numPr>
        <w:tabs>
          <w:tab w:pos="1040" w:val="left" w:leader="none"/>
          <w:tab w:pos="1041" w:val="left" w:leader="none"/>
        </w:tabs>
        <w:spacing w:line="230" w:lineRule="exact" w:before="0" w:after="0"/>
        <w:ind w:left="1040" w:right="0" w:hanging="361"/>
        <w:jc w:val="left"/>
        <w:rPr>
          <w:rFonts w:ascii="Courier New" w:hAnsi="Courier New"/>
          <w:sz w:val="20"/>
        </w:rPr>
      </w:pPr>
      <w:r>
        <w:rPr>
          <w:sz w:val="18"/>
        </w:rPr>
        <w:t>Yes,</w:t>
      </w:r>
      <w:r>
        <w:rPr>
          <w:spacing w:val="-3"/>
          <w:sz w:val="18"/>
        </w:rPr>
        <w:t> </w:t>
      </w:r>
      <w:r>
        <w:rPr>
          <w:sz w:val="18"/>
        </w:rPr>
        <w:t>Aboriginal</w:t>
      </w:r>
    </w:p>
    <w:p>
      <w:pPr>
        <w:pStyle w:val="ListParagraph"/>
        <w:numPr>
          <w:ilvl w:val="0"/>
          <w:numId w:val="58"/>
        </w:numPr>
        <w:tabs>
          <w:tab w:pos="1040" w:val="left" w:leader="none"/>
          <w:tab w:pos="1041" w:val="left" w:leader="none"/>
        </w:tabs>
        <w:spacing w:line="220" w:lineRule="exact" w:before="0" w:after="0"/>
        <w:ind w:left="1040" w:right="0" w:hanging="361"/>
        <w:jc w:val="left"/>
        <w:rPr>
          <w:rFonts w:ascii="Courier New" w:hAnsi="Courier New"/>
          <w:sz w:val="20"/>
        </w:rPr>
      </w:pPr>
      <w:r>
        <w:rPr>
          <w:sz w:val="18"/>
        </w:rPr>
        <w:t>Yes, Torres Strait</w:t>
      </w:r>
      <w:r>
        <w:rPr>
          <w:spacing w:val="-4"/>
          <w:sz w:val="18"/>
        </w:rPr>
        <w:t> </w:t>
      </w:r>
      <w:r>
        <w:rPr>
          <w:sz w:val="18"/>
        </w:rPr>
        <w:t>Islander</w:t>
      </w:r>
    </w:p>
    <w:p>
      <w:pPr>
        <w:pStyle w:val="ListParagraph"/>
        <w:numPr>
          <w:ilvl w:val="0"/>
          <w:numId w:val="58"/>
        </w:numPr>
        <w:tabs>
          <w:tab w:pos="1040" w:val="left" w:leader="none"/>
          <w:tab w:pos="1041" w:val="left" w:leader="none"/>
        </w:tabs>
        <w:spacing w:line="220" w:lineRule="exact" w:before="0" w:after="0"/>
        <w:ind w:left="1040" w:right="0" w:hanging="361"/>
        <w:jc w:val="left"/>
        <w:rPr>
          <w:rFonts w:ascii="Courier New" w:hAnsi="Courier New"/>
          <w:sz w:val="20"/>
        </w:rPr>
      </w:pPr>
      <w:r>
        <w:rPr>
          <w:sz w:val="18"/>
        </w:rPr>
        <w:t>Yes, both Aboriginal and Torres Strait</w:t>
      </w:r>
      <w:r>
        <w:rPr>
          <w:spacing w:val="-6"/>
          <w:sz w:val="18"/>
        </w:rPr>
        <w:t> </w:t>
      </w:r>
      <w:r>
        <w:rPr>
          <w:sz w:val="18"/>
        </w:rPr>
        <w:t>Islander</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No</w:t>
      </w:r>
    </w:p>
    <w:p>
      <w:pPr>
        <w:pStyle w:val="ListParagraph"/>
        <w:numPr>
          <w:ilvl w:val="0"/>
          <w:numId w:val="58"/>
        </w:numPr>
        <w:tabs>
          <w:tab w:pos="1040" w:val="left" w:leader="none"/>
          <w:tab w:pos="1041" w:val="left" w:leader="none"/>
        </w:tabs>
        <w:spacing w:line="230" w:lineRule="exact" w:before="0" w:after="0"/>
        <w:ind w:left="1040" w:right="0" w:hanging="361"/>
        <w:jc w:val="left"/>
        <w:rPr>
          <w:rFonts w:ascii="Courier New" w:hAnsi="Courier New"/>
          <w:sz w:val="20"/>
        </w:rPr>
      </w:pPr>
      <w:r>
        <w:rPr>
          <w:sz w:val="18"/>
        </w:rPr>
        <w:t>Prefer not to</w:t>
      </w:r>
      <w:r>
        <w:rPr>
          <w:spacing w:val="-2"/>
          <w:sz w:val="18"/>
        </w:rPr>
        <w:t> </w:t>
      </w:r>
      <w:r>
        <w:rPr>
          <w:sz w:val="18"/>
        </w:rPr>
        <w:t>say</w:t>
      </w:r>
    </w:p>
    <w:p>
      <w:pPr>
        <w:pStyle w:val="BodyText"/>
        <w:spacing w:before="195"/>
        <w:ind w:left="320" w:right="432"/>
      </w:pPr>
      <w:r>
        <w:rPr/>
        <w:t>Q9. Are you a member of one or more of the </w:t>
      </w:r>
      <w:r>
        <w:rPr>
          <w:i/>
        </w:rPr>
        <w:t>Our Way </w:t>
      </w:r>
      <w:r>
        <w:rPr/>
        <w:t>governance groups which support, guide and oversight the strategy?</w:t>
      </w:r>
    </w:p>
    <w:p>
      <w:pPr>
        <w:pStyle w:val="ListParagraph"/>
        <w:numPr>
          <w:ilvl w:val="0"/>
          <w:numId w:val="58"/>
        </w:numPr>
        <w:tabs>
          <w:tab w:pos="1040" w:val="left" w:leader="none"/>
          <w:tab w:pos="1041" w:val="left" w:leader="none"/>
        </w:tabs>
        <w:spacing w:line="230" w:lineRule="exact" w:before="2" w:after="0"/>
        <w:ind w:left="1040" w:right="0" w:hanging="361"/>
        <w:jc w:val="left"/>
        <w:rPr>
          <w:rFonts w:ascii="Courier New" w:hAnsi="Courier New"/>
          <w:sz w:val="20"/>
        </w:rPr>
      </w:pPr>
      <w:r>
        <w:rPr>
          <w:sz w:val="18"/>
        </w:rPr>
        <w:t>QFCFB</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ATSIRCG</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Family Matters Leadership</w:t>
      </w:r>
      <w:r>
        <w:rPr>
          <w:spacing w:val="-6"/>
          <w:sz w:val="18"/>
        </w:rPr>
        <w:t> </w:t>
      </w:r>
      <w:r>
        <w:rPr>
          <w:sz w:val="18"/>
        </w:rPr>
        <w:t>Group</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Strategic Implementation</w:t>
      </w:r>
      <w:r>
        <w:rPr>
          <w:spacing w:val="-2"/>
          <w:sz w:val="18"/>
        </w:rPr>
        <w:t> </w:t>
      </w:r>
      <w:r>
        <w:rPr>
          <w:sz w:val="18"/>
        </w:rPr>
        <w:t>Group</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i/>
          <w:sz w:val="18"/>
        </w:rPr>
        <w:t>Our Way </w:t>
      </w:r>
      <w:r>
        <w:rPr>
          <w:sz w:val="18"/>
        </w:rPr>
        <w:t>Strategic</w:t>
      </w:r>
      <w:r>
        <w:rPr>
          <w:spacing w:val="-5"/>
          <w:sz w:val="18"/>
        </w:rPr>
        <w:t> </w:t>
      </w:r>
      <w:r>
        <w:rPr>
          <w:sz w:val="18"/>
        </w:rPr>
        <w:t>Interagency</w:t>
      </w:r>
    </w:p>
    <w:p>
      <w:pPr>
        <w:pStyle w:val="ListParagraph"/>
        <w:numPr>
          <w:ilvl w:val="0"/>
          <w:numId w:val="58"/>
        </w:numPr>
        <w:tabs>
          <w:tab w:pos="1040" w:val="left" w:leader="none"/>
          <w:tab w:pos="1041" w:val="left" w:leader="none"/>
        </w:tabs>
        <w:spacing w:line="218" w:lineRule="exact" w:before="0" w:after="0"/>
        <w:ind w:left="1040" w:right="0" w:hanging="361"/>
        <w:jc w:val="left"/>
        <w:rPr>
          <w:rFonts w:ascii="Courier New" w:hAnsi="Courier New"/>
          <w:sz w:val="20"/>
        </w:rPr>
      </w:pPr>
      <w:r>
        <w:rPr>
          <w:sz w:val="18"/>
        </w:rPr>
        <w:t>Governance Group for Delegated</w:t>
      </w:r>
      <w:r>
        <w:rPr>
          <w:spacing w:val="-5"/>
          <w:sz w:val="18"/>
        </w:rPr>
        <w:t> </w:t>
      </w:r>
      <w:r>
        <w:rPr>
          <w:sz w:val="18"/>
        </w:rPr>
        <w:t>Authority</w:t>
      </w:r>
    </w:p>
    <w:p>
      <w:pPr>
        <w:pStyle w:val="ListParagraph"/>
        <w:numPr>
          <w:ilvl w:val="0"/>
          <w:numId w:val="58"/>
        </w:numPr>
        <w:tabs>
          <w:tab w:pos="1040" w:val="left" w:leader="none"/>
          <w:tab w:pos="1041" w:val="left" w:leader="none"/>
        </w:tabs>
        <w:spacing w:line="220" w:lineRule="exact" w:before="0" w:after="0"/>
        <w:ind w:left="1040" w:right="0" w:hanging="361"/>
        <w:jc w:val="left"/>
        <w:rPr>
          <w:rFonts w:ascii="Courier New" w:hAnsi="Courier New"/>
          <w:sz w:val="20"/>
        </w:rPr>
      </w:pPr>
      <w:r>
        <w:rPr>
          <w:sz w:val="18"/>
        </w:rPr>
        <w:t>First Nations</w:t>
      </w:r>
      <w:r>
        <w:rPr>
          <w:spacing w:val="-3"/>
          <w:sz w:val="18"/>
        </w:rPr>
        <w:t> </w:t>
      </w:r>
      <w:r>
        <w:rPr>
          <w:sz w:val="18"/>
        </w:rPr>
        <w:t>Council</w:t>
      </w:r>
    </w:p>
    <w:p>
      <w:pPr>
        <w:pStyle w:val="ListParagraph"/>
        <w:numPr>
          <w:ilvl w:val="0"/>
          <w:numId w:val="58"/>
        </w:numPr>
        <w:tabs>
          <w:tab w:pos="1040" w:val="left" w:leader="none"/>
          <w:tab w:pos="1041" w:val="left" w:leader="none"/>
        </w:tabs>
        <w:spacing w:line="231" w:lineRule="exact" w:before="0" w:after="0"/>
        <w:ind w:left="1040" w:right="0" w:hanging="361"/>
        <w:jc w:val="left"/>
        <w:rPr>
          <w:rFonts w:ascii="Courier New" w:hAnsi="Courier New"/>
          <w:sz w:val="20"/>
        </w:rPr>
      </w:pPr>
      <w:r>
        <w:rPr>
          <w:sz w:val="18"/>
        </w:rPr>
        <w:t>Local Level Alliances for Delegated</w:t>
      </w:r>
      <w:r>
        <w:rPr>
          <w:spacing w:val="-5"/>
          <w:sz w:val="18"/>
        </w:rPr>
        <w:t> </w:t>
      </w:r>
      <w:r>
        <w:rPr>
          <w:sz w:val="18"/>
        </w:rPr>
        <w:t>Authority</w:t>
      </w:r>
    </w:p>
    <w:p>
      <w:pPr>
        <w:pStyle w:val="BodyText"/>
        <w:spacing w:before="11"/>
        <w:rPr>
          <w:sz w:val="31"/>
        </w:rPr>
      </w:pPr>
    </w:p>
    <w:p>
      <w:pPr>
        <w:pStyle w:val="Heading4"/>
        <w:spacing w:before="1"/>
        <w:ind w:left="320"/>
      </w:pPr>
      <w:r>
        <w:rPr/>
        <w:t>Part 2. Understanding stakeholder alignment</w:t>
      </w:r>
    </w:p>
    <w:p>
      <w:pPr>
        <w:pStyle w:val="BodyText"/>
        <w:spacing w:before="177"/>
        <w:ind w:left="320" w:right="414"/>
      </w:pPr>
      <w:r>
        <w:rPr/>
        <w:t>Q10</w:t>
      </w:r>
      <w:r>
        <w:rPr>
          <w:i/>
        </w:rPr>
        <w:t>. </w:t>
      </w:r>
      <w:r>
        <w:rPr/>
        <w:t>Please select the extent to which you agree with the following statements (five point scale from strongly disagree to strongly agree):</w:t>
      </w:r>
    </w:p>
    <w:p>
      <w:pPr>
        <w:pStyle w:val="BodyText"/>
        <w:spacing w:before="11"/>
        <w:rPr>
          <w:sz w:val="17"/>
        </w:rPr>
      </w:pPr>
    </w:p>
    <w:p>
      <w:pPr>
        <w:pStyle w:val="BodyText"/>
        <w:spacing w:line="219" w:lineRule="exact"/>
        <w:ind w:left="320"/>
      </w:pPr>
      <w:r>
        <w:rPr/>
        <w:t>Awareness and vision alignment</w:t>
      </w:r>
    </w:p>
    <w:p>
      <w:pPr>
        <w:pStyle w:val="ListParagraph"/>
        <w:numPr>
          <w:ilvl w:val="0"/>
          <w:numId w:val="59"/>
        </w:numPr>
        <w:tabs>
          <w:tab w:pos="680" w:val="left" w:leader="none"/>
          <w:tab w:pos="681" w:val="left" w:leader="none"/>
        </w:tabs>
        <w:spacing w:line="223" w:lineRule="auto" w:before="11" w:after="0"/>
        <w:ind w:left="680" w:right="412" w:hanging="360"/>
        <w:jc w:val="left"/>
        <w:rPr>
          <w:sz w:val="18"/>
        </w:rPr>
      </w:pPr>
      <w:r>
        <w:rPr>
          <w:sz w:val="18"/>
        </w:rPr>
        <w:t>I am aware of </w:t>
      </w:r>
      <w:hyperlink r:id="rId61">
        <w:r>
          <w:rPr>
            <w:i/>
            <w:sz w:val="18"/>
          </w:rPr>
          <w:t>Our Way </w:t>
        </w:r>
        <w:r>
          <w:rPr>
            <w:sz w:val="18"/>
          </w:rPr>
          <w:t>(2017-37) </w:t>
        </w:r>
      </w:hyperlink>
      <w:r>
        <w:rPr>
          <w:sz w:val="18"/>
        </w:rPr>
        <w:t>and its associated </w:t>
      </w:r>
      <w:r>
        <w:rPr>
          <w:i/>
          <w:sz w:val="18"/>
        </w:rPr>
        <w:t>Changing Tracks </w:t>
      </w:r>
      <w:r>
        <w:rPr>
          <w:sz w:val="18"/>
        </w:rPr>
        <w:t>action plans </w:t>
      </w:r>
      <w:hyperlink r:id="rId96">
        <w:r>
          <w:rPr>
            <w:sz w:val="18"/>
          </w:rPr>
          <w:t>2017-19</w:t>
        </w:r>
      </w:hyperlink>
      <w:r>
        <w:rPr>
          <w:sz w:val="18"/>
        </w:rPr>
        <w:t> and</w:t>
      </w:r>
      <w:r>
        <w:rPr>
          <w:spacing w:val="-2"/>
          <w:sz w:val="18"/>
        </w:rPr>
        <w:t> </w:t>
      </w:r>
      <w:hyperlink r:id="rId97">
        <w:r>
          <w:rPr>
            <w:sz w:val="18"/>
          </w:rPr>
          <w:t>2020-22</w:t>
        </w:r>
      </w:hyperlink>
    </w:p>
    <w:p>
      <w:pPr>
        <w:pStyle w:val="ListParagraph"/>
        <w:numPr>
          <w:ilvl w:val="0"/>
          <w:numId w:val="59"/>
        </w:numPr>
        <w:tabs>
          <w:tab w:pos="680" w:val="left" w:leader="none"/>
          <w:tab w:pos="681" w:val="left" w:leader="none"/>
        </w:tabs>
        <w:spacing w:line="228" w:lineRule="exact" w:before="2" w:after="0"/>
        <w:ind w:left="680" w:right="0" w:hanging="361"/>
        <w:jc w:val="left"/>
        <w:rPr>
          <w:i/>
          <w:sz w:val="18"/>
        </w:rPr>
      </w:pPr>
      <w:r>
        <w:rPr>
          <w:sz w:val="18"/>
        </w:rPr>
        <w:t>I am aware of my organisations role in achieving the intended objectives of </w:t>
      </w:r>
      <w:r>
        <w:rPr>
          <w:i/>
          <w:sz w:val="18"/>
        </w:rPr>
        <w:t>Our</w:t>
      </w:r>
      <w:r>
        <w:rPr>
          <w:i/>
          <w:spacing w:val="-22"/>
          <w:sz w:val="18"/>
        </w:rPr>
        <w:t> </w:t>
      </w:r>
      <w:r>
        <w:rPr>
          <w:i/>
          <w:sz w:val="18"/>
        </w:rPr>
        <w:t>Way</w:t>
      </w:r>
    </w:p>
    <w:p>
      <w:pPr>
        <w:pStyle w:val="ListParagraph"/>
        <w:numPr>
          <w:ilvl w:val="0"/>
          <w:numId w:val="59"/>
        </w:numPr>
        <w:tabs>
          <w:tab w:pos="680" w:val="left" w:leader="none"/>
          <w:tab w:pos="681" w:val="left" w:leader="none"/>
        </w:tabs>
        <w:spacing w:line="230" w:lineRule="auto" w:before="0" w:after="0"/>
        <w:ind w:left="680" w:right="249" w:hanging="360"/>
        <w:jc w:val="left"/>
        <w:rPr>
          <w:sz w:val="18"/>
        </w:rPr>
      </w:pPr>
      <w:r>
        <w:rPr>
          <w:sz w:val="18"/>
        </w:rPr>
        <w:t>I understand the intent of </w:t>
      </w:r>
      <w:r>
        <w:rPr>
          <w:i/>
          <w:sz w:val="18"/>
        </w:rPr>
        <w:t>Our Way </w:t>
      </w:r>
      <w:r>
        <w:rPr>
          <w:sz w:val="18"/>
        </w:rPr>
        <w:t>and its objectives to close the gap in life outcomes for Aboriginal and Torres Strait Islander children and families and eliminate the disproportionate representation of Aboriginal and Torres Strait Islander children in the child protection</w:t>
      </w:r>
      <w:r>
        <w:rPr>
          <w:spacing w:val="-38"/>
          <w:sz w:val="18"/>
        </w:rPr>
        <w:t> </w:t>
      </w:r>
      <w:r>
        <w:rPr>
          <w:sz w:val="18"/>
        </w:rPr>
        <w:t>system.</w:t>
      </w:r>
    </w:p>
    <w:p>
      <w:pPr>
        <w:pStyle w:val="ListParagraph"/>
        <w:numPr>
          <w:ilvl w:val="0"/>
          <w:numId w:val="59"/>
        </w:numPr>
        <w:tabs>
          <w:tab w:pos="680" w:val="left" w:leader="none"/>
          <w:tab w:pos="681" w:val="left" w:leader="none"/>
        </w:tabs>
        <w:spacing w:line="227" w:lineRule="exact" w:before="2" w:after="0"/>
        <w:ind w:left="680" w:right="0" w:hanging="361"/>
        <w:jc w:val="left"/>
        <w:rPr>
          <w:i/>
          <w:sz w:val="18"/>
        </w:rPr>
      </w:pPr>
      <w:r>
        <w:rPr>
          <w:sz w:val="18"/>
        </w:rPr>
        <w:t>I believe that our organisation shares the vision outlined in </w:t>
      </w:r>
      <w:r>
        <w:rPr>
          <w:i/>
          <w:sz w:val="18"/>
        </w:rPr>
        <w:t>Our</w:t>
      </w:r>
      <w:r>
        <w:rPr>
          <w:i/>
          <w:spacing w:val="-9"/>
          <w:sz w:val="18"/>
        </w:rPr>
        <w:t> </w:t>
      </w:r>
      <w:r>
        <w:rPr>
          <w:i/>
          <w:sz w:val="18"/>
        </w:rPr>
        <w:t>Way</w:t>
      </w:r>
    </w:p>
    <w:p>
      <w:pPr>
        <w:pStyle w:val="ListParagraph"/>
        <w:numPr>
          <w:ilvl w:val="0"/>
          <w:numId w:val="59"/>
        </w:numPr>
        <w:tabs>
          <w:tab w:pos="680" w:val="left" w:leader="none"/>
          <w:tab w:pos="681" w:val="left" w:leader="none"/>
        </w:tabs>
        <w:spacing w:line="219" w:lineRule="exact" w:before="0" w:after="0"/>
        <w:ind w:left="680" w:right="0" w:hanging="361"/>
        <w:jc w:val="left"/>
        <w:rPr>
          <w:i/>
          <w:sz w:val="18"/>
        </w:rPr>
      </w:pPr>
      <w:r>
        <w:rPr>
          <w:sz w:val="18"/>
        </w:rPr>
        <w:t>I have heard leaders in my organisation outwardly vocalise their support for </w:t>
      </w:r>
      <w:r>
        <w:rPr>
          <w:i/>
          <w:sz w:val="18"/>
        </w:rPr>
        <w:t>Our</w:t>
      </w:r>
      <w:r>
        <w:rPr>
          <w:i/>
          <w:spacing w:val="-21"/>
          <w:sz w:val="18"/>
        </w:rPr>
        <w:t> </w:t>
      </w:r>
      <w:r>
        <w:rPr>
          <w:i/>
          <w:sz w:val="18"/>
        </w:rPr>
        <w:t>Way</w:t>
      </w:r>
    </w:p>
    <w:p>
      <w:pPr>
        <w:pStyle w:val="ListParagraph"/>
        <w:numPr>
          <w:ilvl w:val="0"/>
          <w:numId w:val="59"/>
        </w:numPr>
        <w:tabs>
          <w:tab w:pos="680" w:val="left" w:leader="none"/>
          <w:tab w:pos="681" w:val="left" w:leader="none"/>
        </w:tabs>
        <w:spacing w:line="225" w:lineRule="auto" w:before="2" w:after="0"/>
        <w:ind w:left="680" w:right="1537" w:hanging="360"/>
        <w:jc w:val="left"/>
        <w:rPr>
          <w:sz w:val="18"/>
        </w:rPr>
      </w:pPr>
      <w:r>
        <w:rPr>
          <w:sz w:val="18"/>
        </w:rPr>
        <w:t>I believe that the </w:t>
      </w:r>
      <w:r>
        <w:rPr>
          <w:b/>
          <w:sz w:val="18"/>
        </w:rPr>
        <w:t>governance structures supporting </w:t>
      </w:r>
      <w:r>
        <w:rPr>
          <w:sz w:val="18"/>
        </w:rPr>
        <w:t>the strategy have clear roles/alignment/understand</w:t>
      </w:r>
      <w:r>
        <w:rPr>
          <w:spacing w:val="-2"/>
          <w:sz w:val="18"/>
        </w:rPr>
        <w:t> </w:t>
      </w:r>
      <w:r>
        <w:rPr>
          <w:sz w:val="18"/>
        </w:rPr>
        <w:t>intent</w:t>
      </w:r>
    </w:p>
    <w:p>
      <w:pPr>
        <w:pStyle w:val="BodyText"/>
        <w:spacing w:before="1"/>
      </w:pPr>
    </w:p>
    <w:p>
      <w:pPr>
        <w:pStyle w:val="BodyText"/>
        <w:ind w:left="320"/>
      </w:pPr>
      <w:r>
        <w:rPr/>
        <w:t>Q11. Please select the extent to which you agree with the following statements:</w:t>
      </w:r>
    </w:p>
    <w:p>
      <w:pPr>
        <w:pStyle w:val="BodyText"/>
      </w:pPr>
    </w:p>
    <w:p>
      <w:pPr>
        <w:pStyle w:val="BodyText"/>
        <w:spacing w:line="219" w:lineRule="exact"/>
        <w:ind w:left="320"/>
      </w:pPr>
      <w:r>
        <w:rPr/>
        <w:t>Actions and changes to date</w:t>
      </w:r>
    </w:p>
    <w:p>
      <w:pPr>
        <w:pStyle w:val="ListParagraph"/>
        <w:numPr>
          <w:ilvl w:val="0"/>
          <w:numId w:val="59"/>
        </w:numPr>
        <w:tabs>
          <w:tab w:pos="680" w:val="left" w:leader="none"/>
          <w:tab w:pos="681" w:val="left" w:leader="none"/>
        </w:tabs>
        <w:spacing w:line="223" w:lineRule="auto" w:before="11" w:after="0"/>
        <w:ind w:left="680" w:right="173" w:hanging="360"/>
        <w:jc w:val="left"/>
        <w:rPr>
          <w:sz w:val="18"/>
        </w:rPr>
      </w:pPr>
      <w:r>
        <w:rPr>
          <w:sz w:val="18"/>
        </w:rPr>
        <w:t>I have been involved in a project(s) within my organisation that are supporting the</w:t>
      </w:r>
      <w:r>
        <w:rPr>
          <w:spacing w:val="-43"/>
          <w:sz w:val="18"/>
        </w:rPr>
        <w:t> </w:t>
      </w:r>
      <w:r>
        <w:rPr>
          <w:sz w:val="18"/>
        </w:rPr>
        <w:t>attainment of the objectives of </w:t>
      </w:r>
      <w:r>
        <w:rPr>
          <w:i/>
          <w:sz w:val="18"/>
        </w:rPr>
        <w:t>Our Way</w:t>
      </w:r>
      <w:r>
        <w:rPr>
          <w:sz w:val="18"/>
        </w:rPr>
        <w:t>, via one or more of the actions in the Action</w:t>
      </w:r>
      <w:r>
        <w:rPr>
          <w:spacing w:val="-26"/>
          <w:sz w:val="18"/>
        </w:rPr>
        <w:t> </w:t>
      </w:r>
      <w:r>
        <w:rPr>
          <w:sz w:val="18"/>
        </w:rPr>
        <w:t>Plan(s)</w:t>
      </w:r>
    </w:p>
    <w:p>
      <w:pPr>
        <w:pStyle w:val="ListParagraph"/>
        <w:numPr>
          <w:ilvl w:val="0"/>
          <w:numId w:val="59"/>
        </w:numPr>
        <w:tabs>
          <w:tab w:pos="680" w:val="left" w:leader="none"/>
          <w:tab w:pos="681" w:val="left" w:leader="none"/>
        </w:tabs>
        <w:spacing w:line="223" w:lineRule="auto" w:before="16" w:after="0"/>
        <w:ind w:left="680" w:right="542" w:hanging="360"/>
        <w:jc w:val="left"/>
        <w:rPr>
          <w:sz w:val="18"/>
        </w:rPr>
      </w:pPr>
      <w:r>
        <w:rPr>
          <w:sz w:val="18"/>
        </w:rPr>
        <w:t>Since its launch, our organisation has embedded the principles of </w:t>
      </w:r>
      <w:r>
        <w:rPr>
          <w:i/>
          <w:sz w:val="18"/>
        </w:rPr>
        <w:t>Our Way </w:t>
      </w:r>
      <w:r>
        <w:rPr>
          <w:sz w:val="18"/>
        </w:rPr>
        <w:t>in our strategic planning</w:t>
      </w:r>
      <w:r>
        <w:rPr>
          <w:spacing w:val="-2"/>
          <w:sz w:val="18"/>
        </w:rPr>
        <w:t> </w:t>
      </w:r>
      <w:r>
        <w:rPr>
          <w:sz w:val="18"/>
        </w:rPr>
        <w:t>processes</w:t>
      </w:r>
    </w:p>
    <w:p>
      <w:pPr>
        <w:pStyle w:val="ListParagraph"/>
        <w:numPr>
          <w:ilvl w:val="0"/>
          <w:numId w:val="59"/>
        </w:numPr>
        <w:tabs>
          <w:tab w:pos="680" w:val="left" w:leader="none"/>
          <w:tab w:pos="681" w:val="left" w:leader="none"/>
        </w:tabs>
        <w:spacing w:line="223" w:lineRule="auto" w:before="14" w:after="0"/>
        <w:ind w:left="680" w:right="835" w:hanging="360"/>
        <w:jc w:val="left"/>
        <w:rPr>
          <w:i/>
          <w:sz w:val="18"/>
        </w:rPr>
      </w:pPr>
      <w:r>
        <w:rPr>
          <w:sz w:val="18"/>
        </w:rPr>
        <w:t>Our organisation has been actively measuring progress towards the intended outcomes described in </w:t>
      </w:r>
      <w:r>
        <w:rPr>
          <w:i/>
          <w:sz w:val="18"/>
        </w:rPr>
        <w:t>Our</w:t>
      </w:r>
      <w:r>
        <w:rPr>
          <w:i/>
          <w:spacing w:val="-3"/>
          <w:sz w:val="18"/>
        </w:rPr>
        <w:t> </w:t>
      </w:r>
      <w:r>
        <w:rPr>
          <w:i/>
          <w:sz w:val="18"/>
        </w:rPr>
        <w:t>Way</w:t>
      </w:r>
    </w:p>
    <w:p>
      <w:pPr>
        <w:pStyle w:val="ListParagraph"/>
        <w:numPr>
          <w:ilvl w:val="0"/>
          <w:numId w:val="59"/>
        </w:numPr>
        <w:tabs>
          <w:tab w:pos="680" w:val="left" w:leader="none"/>
          <w:tab w:pos="681" w:val="left" w:leader="none"/>
        </w:tabs>
        <w:spacing w:line="223" w:lineRule="auto" w:before="13" w:after="0"/>
        <w:ind w:left="680" w:right="580" w:hanging="360"/>
        <w:jc w:val="left"/>
        <w:rPr>
          <w:i/>
          <w:sz w:val="18"/>
        </w:rPr>
      </w:pPr>
      <w:r>
        <w:rPr>
          <w:sz w:val="18"/>
        </w:rPr>
        <w:t>I have seen examples of decision making within our organisation change, aligned with the intent and objectives of </w:t>
      </w:r>
      <w:r>
        <w:rPr>
          <w:i/>
          <w:sz w:val="18"/>
        </w:rPr>
        <w:t>Our</w:t>
      </w:r>
      <w:r>
        <w:rPr>
          <w:i/>
          <w:spacing w:val="-4"/>
          <w:sz w:val="18"/>
        </w:rPr>
        <w:t> </w:t>
      </w:r>
      <w:r>
        <w:rPr>
          <w:i/>
          <w:sz w:val="18"/>
        </w:rPr>
        <w:t>Way</w:t>
      </w:r>
    </w:p>
    <w:p>
      <w:pPr>
        <w:pStyle w:val="ListParagraph"/>
        <w:numPr>
          <w:ilvl w:val="0"/>
          <w:numId w:val="59"/>
        </w:numPr>
        <w:tabs>
          <w:tab w:pos="680" w:val="left" w:leader="none"/>
          <w:tab w:pos="681" w:val="left" w:leader="none"/>
        </w:tabs>
        <w:spacing w:line="225" w:lineRule="auto" w:before="12" w:after="0"/>
        <w:ind w:left="680" w:right="116" w:hanging="360"/>
        <w:jc w:val="left"/>
        <w:rPr>
          <w:sz w:val="18"/>
        </w:rPr>
      </w:pPr>
      <w:r>
        <w:rPr>
          <w:sz w:val="18"/>
        </w:rPr>
        <w:t>I have seen examples of where </w:t>
      </w:r>
      <w:r>
        <w:rPr>
          <w:i/>
          <w:sz w:val="18"/>
        </w:rPr>
        <w:t>Our Way </w:t>
      </w:r>
      <w:r>
        <w:rPr>
          <w:sz w:val="18"/>
        </w:rPr>
        <w:t>and the </w:t>
      </w:r>
      <w:r>
        <w:rPr>
          <w:i/>
          <w:sz w:val="18"/>
        </w:rPr>
        <w:t>Changing Tracks </w:t>
      </w:r>
      <w:r>
        <w:rPr>
          <w:sz w:val="18"/>
        </w:rPr>
        <w:t>action plans have been used to inform decision making within our</w:t>
      </w:r>
      <w:r>
        <w:rPr>
          <w:spacing w:val="-6"/>
          <w:sz w:val="18"/>
        </w:rPr>
        <w:t> </w:t>
      </w:r>
      <w:r>
        <w:rPr>
          <w:sz w:val="18"/>
        </w:rPr>
        <w:t>organisation</w:t>
      </w:r>
    </w:p>
    <w:p>
      <w:pPr>
        <w:pStyle w:val="ListParagraph"/>
        <w:numPr>
          <w:ilvl w:val="0"/>
          <w:numId w:val="59"/>
        </w:numPr>
        <w:tabs>
          <w:tab w:pos="680" w:val="left" w:leader="none"/>
          <w:tab w:pos="681" w:val="left" w:leader="none"/>
        </w:tabs>
        <w:spacing w:line="240" w:lineRule="auto" w:before="3" w:after="0"/>
        <w:ind w:left="680" w:right="539" w:hanging="360"/>
        <w:jc w:val="left"/>
        <w:rPr>
          <w:sz w:val="18"/>
        </w:rPr>
      </w:pPr>
      <w:r>
        <w:rPr>
          <w:sz w:val="18"/>
        </w:rPr>
        <w:t>My organisation has implemented processes that genuinely provide mechanisms for</w:t>
      </w:r>
      <w:r>
        <w:rPr>
          <w:spacing w:val="-36"/>
          <w:sz w:val="18"/>
        </w:rPr>
        <w:t> </w:t>
      </w:r>
      <w:r>
        <w:rPr>
          <w:sz w:val="18"/>
        </w:rPr>
        <w:t>young people and families to have a say/own decisions that affect</w:t>
      </w:r>
      <w:r>
        <w:rPr>
          <w:spacing w:val="-12"/>
          <w:sz w:val="18"/>
        </w:rPr>
        <w:t> </w:t>
      </w:r>
      <w:r>
        <w:rPr>
          <w:sz w:val="18"/>
        </w:rPr>
        <w:t>them</w:t>
      </w:r>
    </w:p>
    <w:p>
      <w:pPr>
        <w:spacing w:after="0" w:line="240" w:lineRule="auto"/>
        <w:jc w:val="left"/>
        <w:rPr>
          <w:sz w:val="18"/>
        </w:rPr>
        <w:sectPr>
          <w:pgSz w:w="11910" w:h="16840"/>
          <w:pgMar w:header="650" w:footer="420" w:top="1340" w:bottom="620" w:left="1120" w:right="1340"/>
        </w:sectPr>
      </w:pPr>
    </w:p>
    <w:p>
      <w:pPr>
        <w:pStyle w:val="ListParagraph"/>
        <w:numPr>
          <w:ilvl w:val="0"/>
          <w:numId w:val="59"/>
        </w:numPr>
        <w:tabs>
          <w:tab w:pos="680" w:val="left" w:leader="none"/>
          <w:tab w:pos="681" w:val="left" w:leader="none"/>
        </w:tabs>
        <w:spacing w:line="240" w:lineRule="auto" w:before="90" w:after="0"/>
        <w:ind w:left="680" w:right="0" w:hanging="361"/>
        <w:jc w:val="left"/>
        <w:rPr>
          <w:sz w:val="18"/>
        </w:rPr>
      </w:pPr>
      <w:r>
        <w:rPr>
          <w:sz w:val="18"/>
        </w:rPr>
        <w:t>My organisation has already started working in a new or different</w:t>
      </w:r>
      <w:r>
        <w:rPr>
          <w:spacing w:val="-17"/>
          <w:sz w:val="18"/>
        </w:rPr>
        <w:t> </w:t>
      </w:r>
      <w:r>
        <w:rPr>
          <w:sz w:val="18"/>
        </w:rPr>
        <w:t>way</w:t>
      </w:r>
    </w:p>
    <w:p>
      <w:pPr>
        <w:pStyle w:val="ListParagraph"/>
        <w:numPr>
          <w:ilvl w:val="0"/>
          <w:numId w:val="59"/>
        </w:numPr>
        <w:tabs>
          <w:tab w:pos="680" w:val="left" w:leader="none"/>
          <w:tab w:pos="681" w:val="left" w:leader="none"/>
        </w:tabs>
        <w:spacing w:line="242" w:lineRule="auto" w:before="0" w:after="0"/>
        <w:ind w:left="680" w:right="357" w:hanging="360"/>
        <w:jc w:val="left"/>
        <w:rPr>
          <w:sz w:val="18"/>
        </w:rPr>
      </w:pPr>
      <w:r>
        <w:rPr>
          <w:sz w:val="18"/>
        </w:rPr>
        <w:t>The governance group I am a member of has provided the necessary oversight, support and pathways to manage issues arising during implementation of the</w:t>
      </w:r>
      <w:r>
        <w:rPr>
          <w:spacing w:val="-12"/>
          <w:sz w:val="18"/>
        </w:rPr>
        <w:t> </w:t>
      </w:r>
      <w:r>
        <w:rPr>
          <w:sz w:val="18"/>
        </w:rPr>
        <w:t>strategy</w:t>
      </w:r>
    </w:p>
    <w:p>
      <w:pPr>
        <w:pStyle w:val="BodyText"/>
        <w:spacing w:before="5"/>
        <w:rPr>
          <w:sz w:val="32"/>
        </w:rPr>
      </w:pPr>
    </w:p>
    <w:p>
      <w:pPr>
        <w:pStyle w:val="Heading4"/>
        <w:spacing w:line="219" w:lineRule="exact"/>
        <w:ind w:left="320"/>
      </w:pPr>
      <w:r>
        <w:rPr/>
        <w:t>Part 3. Understanding stakeholder relationships</w:t>
      </w:r>
    </w:p>
    <w:p>
      <w:pPr>
        <w:pStyle w:val="BodyText"/>
        <w:ind w:left="320" w:right="86"/>
      </w:pPr>
      <w:r>
        <w:rPr/>
        <w:t>The attainment of the objectives of </w:t>
      </w:r>
      <w:r>
        <w:rPr>
          <w:i/>
        </w:rPr>
        <w:t>Our Way </w:t>
      </w:r>
      <w:r>
        <w:rPr/>
        <w:t>is dependent on a whole-of-system response. The following questions ask you to identify which organisations your organisation collaborates with and in what ways, in order to attain the objectives of </w:t>
      </w:r>
      <w:r>
        <w:rPr>
          <w:i/>
        </w:rPr>
        <w:t>Our Way</w:t>
      </w:r>
      <w:r>
        <w:rPr/>
        <w:t>.</w:t>
      </w:r>
    </w:p>
    <w:p>
      <w:pPr>
        <w:pStyle w:val="BodyText"/>
        <w:spacing w:line="264" w:lineRule="auto" w:before="191"/>
        <w:ind w:left="320" w:right="216"/>
      </w:pPr>
      <w:r>
        <w:rPr/>
        <w:t>Q12. In the context of achieving the objectives of </w:t>
      </w:r>
      <w:r>
        <w:rPr>
          <w:i/>
        </w:rPr>
        <w:t>Our Way, </w:t>
      </w:r>
      <w:r>
        <w:rPr/>
        <w:t>select the organisations that your organisation is/ or has collaborated with since the implementation of </w:t>
      </w:r>
      <w:r>
        <w:rPr>
          <w:i/>
        </w:rPr>
        <w:t>Our Way – Changing Tracks</w:t>
      </w:r>
      <w:r>
        <w:rPr/>
        <w:t>.</w:t>
      </w:r>
    </w:p>
    <w:p>
      <w:pPr>
        <w:pStyle w:val="ListParagraph"/>
        <w:numPr>
          <w:ilvl w:val="0"/>
          <w:numId w:val="59"/>
        </w:numPr>
        <w:tabs>
          <w:tab w:pos="680" w:val="left" w:leader="none"/>
          <w:tab w:pos="681" w:val="left" w:leader="none"/>
        </w:tabs>
        <w:spacing w:line="227" w:lineRule="exact" w:before="147" w:after="0"/>
        <w:ind w:left="680" w:right="0" w:hanging="361"/>
        <w:jc w:val="left"/>
        <w:rPr>
          <w:sz w:val="18"/>
        </w:rPr>
      </w:pPr>
      <w:r>
        <w:rPr>
          <w:sz w:val="18"/>
        </w:rPr>
        <w:t>Department of Children, Youth Justice and Multicultural</w:t>
      </w:r>
      <w:r>
        <w:rPr>
          <w:spacing w:val="-8"/>
          <w:sz w:val="18"/>
        </w:rPr>
        <w:t> </w:t>
      </w:r>
      <w:r>
        <w:rPr>
          <w:sz w:val="18"/>
        </w:rPr>
        <w:t>Affairs</w:t>
      </w:r>
    </w:p>
    <w:p>
      <w:pPr>
        <w:pStyle w:val="ListParagraph"/>
        <w:numPr>
          <w:ilvl w:val="0"/>
          <w:numId w:val="59"/>
        </w:numPr>
        <w:tabs>
          <w:tab w:pos="680" w:val="left" w:leader="none"/>
          <w:tab w:pos="681" w:val="left" w:leader="none"/>
        </w:tabs>
        <w:spacing w:line="219" w:lineRule="exact" w:before="0" w:after="0"/>
        <w:ind w:left="680" w:right="0" w:hanging="361"/>
        <w:jc w:val="left"/>
        <w:rPr>
          <w:sz w:val="18"/>
        </w:rPr>
      </w:pPr>
      <w:r>
        <w:rPr>
          <w:sz w:val="18"/>
        </w:rPr>
        <w:t>Department of Communities and Housing, Digital Economy and the</w:t>
      </w:r>
      <w:r>
        <w:rPr>
          <w:spacing w:val="-14"/>
          <w:sz w:val="18"/>
        </w:rPr>
        <w:t> </w:t>
      </w:r>
      <w:r>
        <w:rPr>
          <w:sz w:val="18"/>
        </w:rPr>
        <w:t>Arts</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Department of</w:t>
      </w:r>
      <w:r>
        <w:rPr>
          <w:spacing w:val="-3"/>
          <w:sz w:val="18"/>
        </w:rPr>
        <w:t> </w:t>
      </w:r>
      <w:r>
        <w:rPr>
          <w:sz w:val="18"/>
        </w:rPr>
        <w:t>Education</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Department of Justice and</w:t>
      </w:r>
      <w:r>
        <w:rPr>
          <w:spacing w:val="-4"/>
          <w:sz w:val="18"/>
        </w:rPr>
        <w:t> </w:t>
      </w:r>
      <w:r>
        <w:rPr>
          <w:sz w:val="18"/>
        </w:rPr>
        <w:t>Attorney-General</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Department of Seniors, Disability Services, Aboriginal and Torres Strait Islander</w:t>
      </w:r>
      <w:r>
        <w:rPr>
          <w:spacing w:val="-28"/>
          <w:sz w:val="18"/>
        </w:rPr>
        <w:t> </w:t>
      </w:r>
      <w:r>
        <w:rPr>
          <w:sz w:val="18"/>
        </w:rPr>
        <w:t>Partnerships</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Department of the Premier and</w:t>
      </w:r>
      <w:r>
        <w:rPr>
          <w:spacing w:val="-9"/>
          <w:sz w:val="18"/>
        </w:rPr>
        <w:t> </w:t>
      </w:r>
      <w:r>
        <w:rPr>
          <w:sz w:val="18"/>
        </w:rPr>
        <w:t>Cabinet</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Queensland</w:t>
      </w:r>
      <w:r>
        <w:rPr>
          <w:spacing w:val="-2"/>
          <w:sz w:val="18"/>
        </w:rPr>
        <w:t> </w:t>
      </w:r>
      <w:r>
        <w:rPr>
          <w:sz w:val="18"/>
        </w:rPr>
        <w:t>Health</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Queensland</w:t>
      </w:r>
      <w:r>
        <w:rPr>
          <w:spacing w:val="-2"/>
          <w:sz w:val="18"/>
        </w:rPr>
        <w:t> </w:t>
      </w:r>
      <w:r>
        <w:rPr>
          <w:sz w:val="18"/>
        </w:rPr>
        <w:t>Treasury</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QATSICPP</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QFCC</w:t>
      </w:r>
    </w:p>
    <w:p>
      <w:pPr>
        <w:pStyle w:val="ListParagraph"/>
        <w:numPr>
          <w:ilvl w:val="0"/>
          <w:numId w:val="59"/>
        </w:numPr>
        <w:tabs>
          <w:tab w:pos="680" w:val="left" w:leader="none"/>
          <w:tab w:pos="681" w:val="left" w:leader="none"/>
        </w:tabs>
        <w:spacing w:line="227" w:lineRule="exact" w:before="0" w:after="0"/>
        <w:ind w:left="680" w:right="0" w:hanging="361"/>
        <w:jc w:val="left"/>
        <w:rPr>
          <w:sz w:val="18"/>
        </w:rPr>
      </w:pPr>
      <w:r>
        <w:rPr>
          <w:sz w:val="18"/>
        </w:rPr>
        <w:t>Family Matters</w:t>
      </w:r>
      <w:r>
        <w:rPr>
          <w:spacing w:val="-10"/>
          <w:sz w:val="18"/>
        </w:rPr>
        <w:t> </w:t>
      </w:r>
      <w:r>
        <w:rPr>
          <w:sz w:val="18"/>
        </w:rPr>
        <w:t>Queensland</w:t>
      </w:r>
    </w:p>
    <w:p>
      <w:pPr>
        <w:pStyle w:val="BodyText"/>
        <w:spacing w:before="5"/>
      </w:pPr>
    </w:p>
    <w:p>
      <w:pPr>
        <w:pStyle w:val="BodyText"/>
        <w:spacing w:line="264" w:lineRule="auto"/>
        <w:ind w:left="320" w:right="522"/>
      </w:pPr>
      <w:r>
        <w:rPr/>
        <w:t>Q13. How would you rate the frequency of collaboration between your organisation and others since the implementation of </w:t>
      </w:r>
      <w:r>
        <w:rPr>
          <w:i/>
        </w:rPr>
        <w:t>Our</w:t>
      </w:r>
      <w:r>
        <w:rPr>
          <w:i/>
          <w:spacing w:val="-6"/>
        </w:rPr>
        <w:t> </w:t>
      </w:r>
      <w:r>
        <w:rPr>
          <w:i/>
        </w:rPr>
        <w:t>Way</w:t>
      </w:r>
      <w:r>
        <w:rPr/>
        <w:t>?</w:t>
      </w:r>
    </w:p>
    <w:p>
      <w:pPr>
        <w:pStyle w:val="ListParagraph"/>
        <w:numPr>
          <w:ilvl w:val="0"/>
          <w:numId w:val="59"/>
        </w:numPr>
        <w:tabs>
          <w:tab w:pos="680" w:val="left" w:leader="none"/>
          <w:tab w:pos="681" w:val="left" w:leader="none"/>
        </w:tabs>
        <w:spacing w:line="240" w:lineRule="auto" w:before="147" w:after="0"/>
        <w:ind w:left="680" w:right="0" w:hanging="361"/>
        <w:jc w:val="left"/>
        <w:rPr>
          <w:sz w:val="18"/>
        </w:rPr>
      </w:pPr>
      <w:r>
        <w:rPr>
          <w:sz w:val="18"/>
        </w:rPr>
        <w:t>Less</w:t>
      </w:r>
      <w:r>
        <w:rPr>
          <w:spacing w:val="-2"/>
          <w:sz w:val="18"/>
        </w:rPr>
        <w:t> </w:t>
      </w:r>
      <w:r>
        <w:rPr>
          <w:sz w:val="18"/>
        </w:rPr>
        <w:t>frequent</w:t>
      </w:r>
    </w:p>
    <w:p>
      <w:pPr>
        <w:pStyle w:val="ListParagraph"/>
        <w:numPr>
          <w:ilvl w:val="0"/>
          <w:numId w:val="59"/>
        </w:numPr>
        <w:tabs>
          <w:tab w:pos="680" w:val="left" w:leader="none"/>
          <w:tab w:pos="681" w:val="left" w:leader="none"/>
        </w:tabs>
        <w:spacing w:line="240" w:lineRule="auto" w:before="0" w:after="0"/>
        <w:ind w:left="680" w:right="0" w:hanging="361"/>
        <w:jc w:val="left"/>
        <w:rPr>
          <w:sz w:val="18"/>
        </w:rPr>
      </w:pPr>
      <w:r>
        <w:rPr>
          <w:sz w:val="18"/>
        </w:rPr>
        <w:t>About the</w:t>
      </w:r>
      <w:r>
        <w:rPr>
          <w:spacing w:val="-3"/>
          <w:sz w:val="18"/>
        </w:rPr>
        <w:t> </w:t>
      </w:r>
      <w:r>
        <w:rPr>
          <w:sz w:val="18"/>
        </w:rPr>
        <w:t>same</w:t>
      </w:r>
    </w:p>
    <w:p>
      <w:pPr>
        <w:pStyle w:val="ListParagraph"/>
        <w:numPr>
          <w:ilvl w:val="0"/>
          <w:numId w:val="59"/>
        </w:numPr>
        <w:tabs>
          <w:tab w:pos="680" w:val="left" w:leader="none"/>
          <w:tab w:pos="681" w:val="left" w:leader="none"/>
        </w:tabs>
        <w:spacing w:line="240" w:lineRule="auto" w:before="3" w:after="0"/>
        <w:ind w:left="680" w:right="0" w:hanging="361"/>
        <w:jc w:val="left"/>
        <w:rPr>
          <w:sz w:val="18"/>
        </w:rPr>
      </w:pPr>
      <w:r>
        <w:rPr>
          <w:sz w:val="18"/>
        </w:rPr>
        <w:t>More</w:t>
      </w:r>
      <w:r>
        <w:rPr>
          <w:spacing w:val="-2"/>
          <w:sz w:val="18"/>
        </w:rPr>
        <w:t> </w:t>
      </w:r>
      <w:r>
        <w:rPr>
          <w:sz w:val="18"/>
        </w:rPr>
        <w:t>frequent</w:t>
      </w:r>
    </w:p>
    <w:p>
      <w:pPr>
        <w:pStyle w:val="BodyText"/>
        <w:spacing w:line="264" w:lineRule="auto" w:before="183"/>
        <w:ind w:left="320" w:right="177"/>
      </w:pPr>
      <w:r>
        <w:rPr/>
        <w:t>Q14. How would you rate the level of impact that the collaboration between your organisation and others had on improving outcomes for Aboriginal and Torres Strait Islander children and families since the implementation of </w:t>
      </w:r>
      <w:r>
        <w:rPr>
          <w:i/>
        </w:rPr>
        <w:t>Our Way</w:t>
      </w:r>
      <w:r>
        <w:rPr/>
        <w:t>?</w:t>
      </w:r>
    </w:p>
    <w:p>
      <w:pPr>
        <w:pStyle w:val="ListParagraph"/>
        <w:numPr>
          <w:ilvl w:val="0"/>
          <w:numId w:val="59"/>
        </w:numPr>
        <w:tabs>
          <w:tab w:pos="680" w:val="left" w:leader="none"/>
          <w:tab w:pos="681" w:val="left" w:leader="none"/>
        </w:tabs>
        <w:spacing w:line="240" w:lineRule="auto" w:before="144" w:after="0"/>
        <w:ind w:left="680" w:right="0" w:hanging="361"/>
        <w:jc w:val="left"/>
        <w:rPr>
          <w:sz w:val="18"/>
        </w:rPr>
      </w:pPr>
      <w:r>
        <w:rPr>
          <w:sz w:val="18"/>
        </w:rPr>
        <w:t>Less</w:t>
      </w:r>
      <w:r>
        <w:rPr>
          <w:spacing w:val="-3"/>
          <w:sz w:val="18"/>
        </w:rPr>
        <w:t> </w:t>
      </w:r>
      <w:r>
        <w:rPr>
          <w:sz w:val="18"/>
        </w:rPr>
        <w:t>impactful</w:t>
      </w:r>
    </w:p>
    <w:p>
      <w:pPr>
        <w:pStyle w:val="ListParagraph"/>
        <w:numPr>
          <w:ilvl w:val="0"/>
          <w:numId w:val="59"/>
        </w:numPr>
        <w:tabs>
          <w:tab w:pos="680" w:val="left" w:leader="none"/>
          <w:tab w:pos="681" w:val="left" w:leader="none"/>
        </w:tabs>
        <w:spacing w:line="240" w:lineRule="auto" w:before="3" w:after="0"/>
        <w:ind w:left="680" w:right="0" w:hanging="361"/>
        <w:jc w:val="left"/>
        <w:rPr>
          <w:sz w:val="18"/>
        </w:rPr>
      </w:pPr>
      <w:r>
        <w:rPr>
          <w:sz w:val="18"/>
        </w:rPr>
        <w:t>About the</w:t>
      </w:r>
      <w:r>
        <w:rPr>
          <w:spacing w:val="-4"/>
          <w:sz w:val="18"/>
        </w:rPr>
        <w:t> </w:t>
      </w:r>
      <w:r>
        <w:rPr>
          <w:sz w:val="18"/>
        </w:rPr>
        <w:t>same</w:t>
      </w:r>
    </w:p>
    <w:p>
      <w:pPr>
        <w:pStyle w:val="ListParagraph"/>
        <w:numPr>
          <w:ilvl w:val="0"/>
          <w:numId w:val="59"/>
        </w:numPr>
        <w:tabs>
          <w:tab w:pos="680" w:val="left" w:leader="none"/>
          <w:tab w:pos="681" w:val="left" w:leader="none"/>
        </w:tabs>
        <w:spacing w:line="240" w:lineRule="auto" w:before="0" w:after="0"/>
        <w:ind w:left="680" w:right="0" w:hanging="361"/>
        <w:jc w:val="left"/>
        <w:rPr>
          <w:sz w:val="18"/>
        </w:rPr>
      </w:pPr>
      <w:r>
        <w:rPr>
          <w:sz w:val="18"/>
        </w:rPr>
        <w:t>More</w:t>
      </w:r>
      <w:r>
        <w:rPr>
          <w:spacing w:val="-2"/>
          <w:sz w:val="18"/>
        </w:rPr>
        <w:t> </w:t>
      </w:r>
      <w:r>
        <w:rPr>
          <w:sz w:val="18"/>
        </w:rPr>
        <w:t>impactful</w:t>
      </w:r>
    </w:p>
    <w:p>
      <w:pPr>
        <w:pStyle w:val="BodyText"/>
        <w:spacing w:before="161"/>
        <w:ind w:left="320" w:right="265"/>
        <w:rPr>
          <w:i/>
        </w:rPr>
      </w:pPr>
      <w:r>
        <w:rPr/>
        <w:t>Q15. Please select the activities you collaborate on with each organisation in order to achieve the objectives of </w:t>
      </w:r>
      <w:r>
        <w:rPr>
          <w:i/>
        </w:rPr>
        <w:t>Our Way.</w:t>
      </w:r>
    </w:p>
    <w:p>
      <w:pPr>
        <w:pStyle w:val="ListParagraph"/>
        <w:numPr>
          <w:ilvl w:val="0"/>
          <w:numId w:val="59"/>
        </w:numPr>
        <w:tabs>
          <w:tab w:pos="680" w:val="left" w:leader="none"/>
          <w:tab w:pos="681" w:val="left" w:leader="none"/>
        </w:tabs>
        <w:spacing w:line="227" w:lineRule="exact" w:before="170" w:after="0"/>
        <w:ind w:left="680" w:right="0" w:hanging="361"/>
        <w:jc w:val="left"/>
        <w:rPr>
          <w:sz w:val="18"/>
        </w:rPr>
      </w:pPr>
      <w:r>
        <w:rPr>
          <w:sz w:val="18"/>
        </w:rPr>
        <w:t>Undertaken integrated service</w:t>
      </w:r>
      <w:r>
        <w:rPr>
          <w:spacing w:val="-2"/>
          <w:sz w:val="18"/>
        </w:rPr>
        <w:t> </w:t>
      </w:r>
      <w:r>
        <w:rPr>
          <w:sz w:val="18"/>
        </w:rPr>
        <w:t>planning</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Shared data and/or</w:t>
      </w:r>
      <w:r>
        <w:rPr>
          <w:spacing w:val="-3"/>
          <w:sz w:val="18"/>
        </w:rPr>
        <w:t> </w:t>
      </w:r>
      <w:r>
        <w:rPr>
          <w:sz w:val="18"/>
        </w:rPr>
        <w:t>information</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Participated in joint governance</w:t>
      </w:r>
      <w:r>
        <w:rPr>
          <w:spacing w:val="-2"/>
          <w:sz w:val="18"/>
        </w:rPr>
        <w:t> </w:t>
      </w:r>
      <w:r>
        <w:rPr>
          <w:sz w:val="18"/>
        </w:rPr>
        <w:t>forums</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Established new ways of</w:t>
      </w:r>
      <w:r>
        <w:rPr>
          <w:spacing w:val="-5"/>
          <w:sz w:val="18"/>
        </w:rPr>
        <w:t> </w:t>
      </w:r>
      <w:r>
        <w:rPr>
          <w:sz w:val="18"/>
        </w:rPr>
        <w:t>working</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Shared funding / implemented new funding</w:t>
      </w:r>
      <w:r>
        <w:rPr>
          <w:spacing w:val="-9"/>
          <w:sz w:val="18"/>
        </w:rPr>
        <w:t> </w:t>
      </w:r>
      <w:r>
        <w:rPr>
          <w:sz w:val="18"/>
        </w:rPr>
        <w:t>models</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Participated in joint</w:t>
      </w:r>
      <w:r>
        <w:rPr>
          <w:spacing w:val="-2"/>
          <w:sz w:val="18"/>
        </w:rPr>
        <w:t> </w:t>
      </w:r>
      <w:r>
        <w:rPr>
          <w:sz w:val="18"/>
        </w:rPr>
        <w:t>planning</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Shared resources</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Participated in knowledge transfer and/or</w:t>
      </w:r>
      <w:r>
        <w:rPr>
          <w:spacing w:val="-7"/>
          <w:sz w:val="18"/>
        </w:rPr>
        <w:t> </w:t>
      </w:r>
      <w:r>
        <w:rPr>
          <w:sz w:val="18"/>
        </w:rPr>
        <w:t>sharing</w:t>
      </w:r>
    </w:p>
    <w:p>
      <w:pPr>
        <w:pStyle w:val="ListParagraph"/>
        <w:numPr>
          <w:ilvl w:val="0"/>
          <w:numId w:val="59"/>
        </w:numPr>
        <w:tabs>
          <w:tab w:pos="680" w:val="left" w:leader="none"/>
          <w:tab w:pos="681" w:val="left" w:leader="none"/>
        </w:tabs>
        <w:spacing w:line="228" w:lineRule="exact" w:before="0" w:after="0"/>
        <w:ind w:left="680" w:right="0" w:hanging="361"/>
        <w:jc w:val="left"/>
        <w:rPr>
          <w:sz w:val="18"/>
        </w:rPr>
      </w:pPr>
      <w:r>
        <w:rPr>
          <w:sz w:val="18"/>
        </w:rPr>
        <w:t>Other (please</w:t>
      </w:r>
      <w:r>
        <w:rPr>
          <w:spacing w:val="-3"/>
          <w:sz w:val="18"/>
        </w:rPr>
        <w:t> </w:t>
      </w:r>
      <w:r>
        <w:rPr>
          <w:sz w:val="18"/>
        </w:rPr>
        <w:t>add)</w:t>
      </w:r>
    </w:p>
    <w:p>
      <w:pPr>
        <w:pStyle w:val="BodyText"/>
        <w:spacing w:before="202"/>
        <w:ind w:left="320" w:right="672"/>
        <w:rPr>
          <w:i/>
        </w:rPr>
      </w:pPr>
      <w:r>
        <w:rPr/>
        <w:t>Q16. Please select how frequently you collaborate/connect with each organisation in order to achieve the objectives of </w:t>
      </w:r>
      <w:r>
        <w:rPr>
          <w:i/>
        </w:rPr>
        <w:t>Our Way.</w:t>
      </w:r>
    </w:p>
    <w:p>
      <w:pPr>
        <w:pStyle w:val="ListParagraph"/>
        <w:numPr>
          <w:ilvl w:val="0"/>
          <w:numId w:val="59"/>
        </w:numPr>
        <w:tabs>
          <w:tab w:pos="680" w:val="left" w:leader="none"/>
          <w:tab w:pos="681" w:val="left" w:leader="none"/>
        </w:tabs>
        <w:spacing w:line="227" w:lineRule="exact" w:before="169" w:after="0"/>
        <w:ind w:left="680" w:right="0" w:hanging="361"/>
        <w:jc w:val="left"/>
        <w:rPr>
          <w:sz w:val="18"/>
        </w:rPr>
      </w:pPr>
      <w:r>
        <w:rPr>
          <w:sz w:val="18"/>
        </w:rPr>
        <w:t>Structured –</w:t>
      </w:r>
      <w:r>
        <w:rPr>
          <w:spacing w:val="-2"/>
          <w:sz w:val="18"/>
        </w:rPr>
        <w:t> </w:t>
      </w:r>
      <w:r>
        <w:rPr>
          <w:sz w:val="18"/>
        </w:rPr>
        <w:t>daily</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Structured –</w:t>
      </w:r>
      <w:r>
        <w:rPr>
          <w:spacing w:val="-2"/>
          <w:sz w:val="18"/>
        </w:rPr>
        <w:t> </w:t>
      </w:r>
      <w:r>
        <w:rPr>
          <w:sz w:val="18"/>
        </w:rPr>
        <w:t>weekly</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Structured –</w:t>
      </w:r>
      <w:r>
        <w:rPr>
          <w:spacing w:val="-2"/>
          <w:sz w:val="18"/>
        </w:rPr>
        <w:t> </w:t>
      </w:r>
      <w:r>
        <w:rPr>
          <w:sz w:val="18"/>
        </w:rPr>
        <w:t>monthly</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Structured – several times per</w:t>
      </w:r>
      <w:r>
        <w:rPr>
          <w:spacing w:val="-7"/>
          <w:sz w:val="18"/>
        </w:rPr>
        <w:t> </w:t>
      </w:r>
      <w:r>
        <w:rPr>
          <w:sz w:val="18"/>
        </w:rPr>
        <w:t>year</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Ad hoc –</w:t>
      </w:r>
      <w:r>
        <w:rPr>
          <w:spacing w:val="-3"/>
          <w:sz w:val="18"/>
        </w:rPr>
        <w:t> </w:t>
      </w:r>
      <w:r>
        <w:rPr>
          <w:sz w:val="18"/>
        </w:rPr>
        <w:t>daily</w:t>
      </w:r>
    </w:p>
    <w:p>
      <w:pPr>
        <w:pStyle w:val="ListParagraph"/>
        <w:numPr>
          <w:ilvl w:val="0"/>
          <w:numId w:val="59"/>
        </w:numPr>
        <w:tabs>
          <w:tab w:pos="680" w:val="left" w:leader="none"/>
          <w:tab w:pos="681" w:val="left" w:leader="none"/>
        </w:tabs>
        <w:spacing w:line="219" w:lineRule="exact" w:before="0" w:after="0"/>
        <w:ind w:left="680" w:right="0" w:hanging="361"/>
        <w:jc w:val="left"/>
        <w:rPr>
          <w:sz w:val="18"/>
        </w:rPr>
      </w:pPr>
      <w:r>
        <w:rPr>
          <w:sz w:val="18"/>
        </w:rPr>
        <w:t>Ad hoc –</w:t>
      </w:r>
      <w:r>
        <w:rPr>
          <w:spacing w:val="-4"/>
          <w:sz w:val="18"/>
        </w:rPr>
        <w:t> </w:t>
      </w:r>
      <w:r>
        <w:rPr>
          <w:sz w:val="18"/>
        </w:rPr>
        <w:t>weekly</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Ad hoc –</w:t>
      </w:r>
      <w:r>
        <w:rPr>
          <w:spacing w:val="-4"/>
          <w:sz w:val="18"/>
        </w:rPr>
        <w:t> </w:t>
      </w:r>
      <w:r>
        <w:rPr>
          <w:sz w:val="18"/>
        </w:rPr>
        <w:t>monthly</w:t>
      </w:r>
    </w:p>
    <w:p>
      <w:pPr>
        <w:pStyle w:val="ListParagraph"/>
        <w:numPr>
          <w:ilvl w:val="0"/>
          <w:numId w:val="59"/>
        </w:numPr>
        <w:tabs>
          <w:tab w:pos="680" w:val="left" w:leader="none"/>
          <w:tab w:pos="681" w:val="left" w:leader="none"/>
        </w:tabs>
        <w:spacing w:line="227" w:lineRule="exact" w:before="0" w:after="0"/>
        <w:ind w:left="680" w:right="0" w:hanging="361"/>
        <w:jc w:val="left"/>
        <w:rPr>
          <w:sz w:val="18"/>
        </w:rPr>
      </w:pPr>
      <w:r>
        <w:rPr>
          <w:sz w:val="18"/>
        </w:rPr>
        <w:t>Ad hoc – several times per</w:t>
      </w:r>
      <w:r>
        <w:rPr>
          <w:spacing w:val="-9"/>
          <w:sz w:val="18"/>
        </w:rPr>
        <w:t> </w:t>
      </w:r>
      <w:r>
        <w:rPr>
          <w:sz w:val="18"/>
        </w:rPr>
        <w:t>year</w:t>
      </w:r>
    </w:p>
    <w:p>
      <w:pPr>
        <w:spacing w:after="0" w:line="227" w:lineRule="exact"/>
        <w:jc w:val="left"/>
        <w:rPr>
          <w:sz w:val="18"/>
        </w:rPr>
        <w:sectPr>
          <w:pgSz w:w="11910" w:h="16840"/>
          <w:pgMar w:header="650" w:footer="420" w:top="1340" w:bottom="620" w:left="1120" w:right="1340"/>
        </w:sectPr>
      </w:pPr>
    </w:p>
    <w:p>
      <w:pPr>
        <w:pStyle w:val="ListParagraph"/>
        <w:numPr>
          <w:ilvl w:val="0"/>
          <w:numId w:val="59"/>
        </w:numPr>
        <w:tabs>
          <w:tab w:pos="680" w:val="left" w:leader="none"/>
          <w:tab w:pos="681" w:val="left" w:leader="none"/>
        </w:tabs>
        <w:spacing w:line="240" w:lineRule="auto" w:before="90" w:after="0"/>
        <w:ind w:left="680" w:right="0" w:hanging="361"/>
        <w:jc w:val="left"/>
        <w:rPr>
          <w:sz w:val="18"/>
        </w:rPr>
      </w:pPr>
      <w:r>
        <w:rPr>
          <w:sz w:val="18"/>
        </w:rPr>
        <w:t>Other (please</w:t>
      </w:r>
      <w:r>
        <w:rPr>
          <w:spacing w:val="-3"/>
          <w:sz w:val="18"/>
        </w:rPr>
        <w:t> </w:t>
      </w:r>
      <w:r>
        <w:rPr>
          <w:sz w:val="18"/>
        </w:rPr>
        <w:t>add)</w:t>
      </w:r>
    </w:p>
    <w:p>
      <w:pPr>
        <w:pStyle w:val="BodyText"/>
        <w:spacing w:before="201"/>
        <w:ind w:left="320" w:right="190"/>
      </w:pPr>
      <w:r>
        <w:rPr/>
        <w:t>Q17. In the context of achieving the objectives of </w:t>
      </w:r>
      <w:r>
        <w:rPr>
          <w:i/>
        </w:rPr>
        <w:t>Our Way</w:t>
      </w:r>
      <w:r>
        <w:rPr/>
        <w:t>, what facilitated collaboration between organisations?</w:t>
      </w:r>
    </w:p>
    <w:p>
      <w:pPr>
        <w:pStyle w:val="ListParagraph"/>
        <w:numPr>
          <w:ilvl w:val="0"/>
          <w:numId w:val="59"/>
        </w:numPr>
        <w:tabs>
          <w:tab w:pos="680" w:val="left" w:leader="none"/>
          <w:tab w:pos="681" w:val="left" w:leader="none"/>
        </w:tabs>
        <w:spacing w:line="228" w:lineRule="exact" w:before="170" w:after="0"/>
        <w:ind w:left="680" w:right="0" w:hanging="361"/>
        <w:jc w:val="left"/>
        <w:rPr>
          <w:sz w:val="18"/>
        </w:rPr>
      </w:pPr>
      <w:r>
        <w:rPr>
          <w:sz w:val="18"/>
        </w:rPr>
        <w:t>Project</w:t>
      </w:r>
      <w:r>
        <w:rPr>
          <w:spacing w:val="-2"/>
          <w:sz w:val="18"/>
        </w:rPr>
        <w:t> </w:t>
      </w:r>
      <w:r>
        <w:rPr>
          <w:sz w:val="18"/>
        </w:rPr>
        <w:t>management</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Good working</w:t>
      </w:r>
      <w:r>
        <w:rPr>
          <w:spacing w:val="-3"/>
          <w:sz w:val="18"/>
        </w:rPr>
        <w:t> </w:t>
      </w:r>
      <w:r>
        <w:rPr>
          <w:sz w:val="18"/>
        </w:rPr>
        <w:t>relationships</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Strong leadership from senior</w:t>
      </w:r>
      <w:r>
        <w:rPr>
          <w:spacing w:val="-5"/>
          <w:sz w:val="18"/>
        </w:rPr>
        <w:t> </w:t>
      </w:r>
      <w:r>
        <w:rPr>
          <w:sz w:val="18"/>
        </w:rPr>
        <w:t>level</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Transparent</w:t>
      </w:r>
      <w:r>
        <w:rPr>
          <w:spacing w:val="-1"/>
          <w:sz w:val="18"/>
        </w:rPr>
        <w:t> </w:t>
      </w:r>
      <w:r>
        <w:rPr>
          <w:sz w:val="18"/>
        </w:rPr>
        <w:t>communication</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Shared</w:t>
      </w:r>
      <w:r>
        <w:rPr>
          <w:spacing w:val="-1"/>
          <w:sz w:val="18"/>
        </w:rPr>
        <w:t> </w:t>
      </w:r>
      <w:r>
        <w:rPr>
          <w:sz w:val="18"/>
        </w:rPr>
        <w:t>goals</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Information dissemination to all levels of</w:t>
      </w:r>
      <w:r>
        <w:rPr>
          <w:spacing w:val="-8"/>
          <w:sz w:val="18"/>
        </w:rPr>
        <w:t> </w:t>
      </w:r>
      <w:r>
        <w:rPr>
          <w:sz w:val="18"/>
        </w:rPr>
        <w:t>stakeholders</w:t>
      </w:r>
    </w:p>
    <w:p>
      <w:pPr>
        <w:pStyle w:val="ListParagraph"/>
        <w:numPr>
          <w:ilvl w:val="0"/>
          <w:numId w:val="59"/>
        </w:numPr>
        <w:tabs>
          <w:tab w:pos="680" w:val="left" w:leader="none"/>
          <w:tab w:pos="681" w:val="left" w:leader="none"/>
        </w:tabs>
        <w:spacing w:line="227" w:lineRule="exact" w:before="0" w:after="0"/>
        <w:ind w:left="680" w:right="0" w:hanging="361"/>
        <w:jc w:val="left"/>
        <w:rPr>
          <w:sz w:val="18"/>
        </w:rPr>
      </w:pPr>
      <w:r>
        <w:rPr>
          <w:sz w:val="18"/>
        </w:rPr>
        <w:t>Other (please</w:t>
      </w:r>
      <w:r>
        <w:rPr>
          <w:spacing w:val="-3"/>
          <w:sz w:val="18"/>
        </w:rPr>
        <w:t> </w:t>
      </w:r>
      <w:r>
        <w:rPr>
          <w:sz w:val="18"/>
        </w:rPr>
        <w:t>add)</w:t>
      </w:r>
    </w:p>
    <w:p>
      <w:pPr>
        <w:pStyle w:val="BodyText"/>
        <w:spacing w:before="204"/>
        <w:ind w:left="320" w:right="406"/>
      </w:pPr>
      <w:r>
        <w:rPr/>
        <w:t>Q18. In the context of achieving the objectives of </w:t>
      </w:r>
      <w:r>
        <w:rPr>
          <w:i/>
        </w:rPr>
        <w:t>Our Way</w:t>
      </w:r>
      <w:r>
        <w:rPr/>
        <w:t>, what hinders collaboration between organisations?</w:t>
      </w:r>
    </w:p>
    <w:p>
      <w:pPr>
        <w:pStyle w:val="ListParagraph"/>
        <w:numPr>
          <w:ilvl w:val="0"/>
          <w:numId w:val="59"/>
        </w:numPr>
        <w:tabs>
          <w:tab w:pos="680" w:val="left" w:leader="none"/>
          <w:tab w:pos="681" w:val="left" w:leader="none"/>
        </w:tabs>
        <w:spacing w:line="227" w:lineRule="exact" w:before="171" w:after="0"/>
        <w:ind w:left="680" w:right="0" w:hanging="361"/>
        <w:jc w:val="left"/>
        <w:rPr>
          <w:sz w:val="18"/>
        </w:rPr>
      </w:pPr>
      <w:r>
        <w:rPr>
          <w:sz w:val="18"/>
        </w:rPr>
        <w:t>Lack of policy</w:t>
      </w:r>
      <w:r>
        <w:rPr>
          <w:spacing w:val="-7"/>
          <w:sz w:val="18"/>
        </w:rPr>
        <w:t> </w:t>
      </w:r>
      <w:r>
        <w:rPr>
          <w:sz w:val="18"/>
        </w:rPr>
        <w:t>imperative</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Lack of</w:t>
      </w:r>
      <w:r>
        <w:rPr>
          <w:spacing w:val="-5"/>
          <w:sz w:val="18"/>
        </w:rPr>
        <w:t> </w:t>
      </w:r>
      <w:r>
        <w:rPr>
          <w:sz w:val="18"/>
        </w:rPr>
        <w:t>incentives</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Poor</w:t>
      </w:r>
      <w:r>
        <w:rPr>
          <w:spacing w:val="-2"/>
          <w:sz w:val="18"/>
        </w:rPr>
        <w:t> </w:t>
      </w:r>
      <w:r>
        <w:rPr>
          <w:sz w:val="18"/>
        </w:rPr>
        <w:t>leadership</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Lack of</w:t>
      </w:r>
      <w:r>
        <w:rPr>
          <w:spacing w:val="-4"/>
          <w:sz w:val="18"/>
        </w:rPr>
        <w:t> </w:t>
      </w:r>
      <w:r>
        <w:rPr>
          <w:sz w:val="18"/>
        </w:rPr>
        <w:t>time</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Lack of resources and</w:t>
      </w:r>
      <w:r>
        <w:rPr>
          <w:spacing w:val="-7"/>
          <w:sz w:val="18"/>
        </w:rPr>
        <w:t> </w:t>
      </w:r>
      <w:r>
        <w:rPr>
          <w:sz w:val="18"/>
        </w:rPr>
        <w:t>facilities</w:t>
      </w:r>
    </w:p>
    <w:p>
      <w:pPr>
        <w:pStyle w:val="ListParagraph"/>
        <w:numPr>
          <w:ilvl w:val="0"/>
          <w:numId w:val="59"/>
        </w:numPr>
        <w:tabs>
          <w:tab w:pos="680" w:val="left" w:leader="none"/>
          <w:tab w:pos="681" w:val="left" w:leader="none"/>
        </w:tabs>
        <w:spacing w:line="220" w:lineRule="exact" w:before="0" w:after="0"/>
        <w:ind w:left="680" w:right="0" w:hanging="361"/>
        <w:jc w:val="left"/>
        <w:rPr>
          <w:sz w:val="18"/>
        </w:rPr>
      </w:pPr>
      <w:r>
        <w:rPr>
          <w:sz w:val="18"/>
        </w:rPr>
        <w:t>Lack of</w:t>
      </w:r>
      <w:r>
        <w:rPr>
          <w:spacing w:val="-5"/>
          <w:sz w:val="18"/>
        </w:rPr>
        <w:t> </w:t>
      </w:r>
      <w:r>
        <w:rPr>
          <w:sz w:val="18"/>
        </w:rPr>
        <w:t>communication</w:t>
      </w:r>
    </w:p>
    <w:p>
      <w:pPr>
        <w:pStyle w:val="ListParagraph"/>
        <w:numPr>
          <w:ilvl w:val="0"/>
          <w:numId w:val="59"/>
        </w:numPr>
        <w:tabs>
          <w:tab w:pos="680" w:val="left" w:leader="none"/>
          <w:tab w:pos="681" w:val="left" w:leader="none"/>
        </w:tabs>
        <w:spacing w:line="218" w:lineRule="exact" w:before="0" w:after="0"/>
        <w:ind w:left="680" w:right="0" w:hanging="361"/>
        <w:jc w:val="left"/>
        <w:rPr>
          <w:sz w:val="18"/>
        </w:rPr>
      </w:pPr>
      <w:r>
        <w:rPr>
          <w:sz w:val="18"/>
        </w:rPr>
        <w:t>Challenges of remote</w:t>
      </w:r>
      <w:r>
        <w:rPr>
          <w:spacing w:val="-5"/>
          <w:sz w:val="18"/>
        </w:rPr>
        <w:t> </w:t>
      </w:r>
      <w:r>
        <w:rPr>
          <w:sz w:val="18"/>
        </w:rPr>
        <w:t>working</w:t>
      </w:r>
    </w:p>
    <w:p>
      <w:pPr>
        <w:pStyle w:val="ListParagraph"/>
        <w:numPr>
          <w:ilvl w:val="0"/>
          <w:numId w:val="59"/>
        </w:numPr>
        <w:tabs>
          <w:tab w:pos="680" w:val="left" w:leader="none"/>
          <w:tab w:pos="681" w:val="left" w:leader="none"/>
        </w:tabs>
        <w:spacing w:line="227" w:lineRule="exact" w:before="0" w:after="0"/>
        <w:ind w:left="680" w:right="0" w:hanging="361"/>
        <w:jc w:val="left"/>
        <w:rPr>
          <w:sz w:val="18"/>
        </w:rPr>
      </w:pPr>
      <w:r>
        <w:rPr>
          <w:sz w:val="18"/>
        </w:rPr>
        <w:t>Other (please</w:t>
      </w:r>
      <w:r>
        <w:rPr>
          <w:spacing w:val="-3"/>
          <w:sz w:val="18"/>
        </w:rPr>
        <w:t> </w:t>
      </w:r>
      <w:r>
        <w:rPr>
          <w:sz w:val="18"/>
        </w:rPr>
        <w:t>add)</w:t>
      </w:r>
    </w:p>
    <w:p>
      <w:pPr>
        <w:pStyle w:val="Heading4"/>
        <w:spacing w:line="219" w:lineRule="exact" w:before="201"/>
        <w:ind w:left="320"/>
      </w:pPr>
      <w:r>
        <w:rPr/>
        <w:t>Part 4. Closing questions</w:t>
      </w:r>
    </w:p>
    <w:p>
      <w:pPr>
        <w:pStyle w:val="BodyText"/>
        <w:ind w:left="320" w:right="344"/>
      </w:pPr>
      <w:r>
        <w:rPr/>
        <w:t>Q19. Please describe any future actions and improvements required to achieve and sustain positive outcomes and drive continuous improvement of policy, program and service delivery for Aboriginal and Torres Strait Islander children and families?</w:t>
      </w:r>
    </w:p>
    <w:p>
      <w:pPr>
        <w:pStyle w:val="BodyText"/>
        <w:spacing w:before="1"/>
      </w:pPr>
    </w:p>
    <w:p>
      <w:pPr>
        <w:pStyle w:val="BodyText"/>
        <w:spacing w:before="1"/>
        <w:ind w:left="320" w:right="121"/>
      </w:pPr>
      <w:r>
        <w:rPr/>
        <w:t>Q20. Are there any other comments you would like to make in relation to </w:t>
      </w:r>
      <w:r>
        <w:rPr>
          <w:i/>
        </w:rPr>
        <w:t>Our Way </w:t>
      </w:r>
      <w:r>
        <w:rPr/>
        <w:t>and the current process to support planning for the incoming Breaking Cycles - Action Plans?</w:t>
      </w:r>
    </w:p>
    <w:p>
      <w:pPr>
        <w:spacing w:after="0"/>
        <w:sectPr>
          <w:pgSz w:w="11910" w:h="16840"/>
          <w:pgMar w:header="650" w:footer="420" w:top="1340" w:bottom="620" w:left="1120" w:right="1340"/>
        </w:sectPr>
      </w:pPr>
    </w:p>
    <w:p>
      <w:pPr>
        <w:pStyle w:val="BodyText"/>
        <w:spacing w:before="3"/>
        <w:rPr>
          <w:sz w:val="13"/>
        </w:rPr>
      </w:pPr>
    </w:p>
    <w:p>
      <w:pPr>
        <w:spacing w:before="100"/>
        <w:ind w:left="4417" w:right="2356" w:hanging="3856"/>
        <w:jc w:val="left"/>
        <w:rPr>
          <w:sz w:val="60"/>
        </w:rPr>
      </w:pPr>
      <w:r>
        <w:rPr>
          <w:position w:val="-12"/>
        </w:rPr>
        <w:drawing>
          <wp:inline distT="0" distB="0" distL="0" distR="0">
            <wp:extent cx="2177034" cy="372618"/>
            <wp:effectExtent l="0" t="0" r="0" b="0"/>
            <wp:docPr id="85" name="image64.png"/>
            <wp:cNvGraphicFramePr>
              <a:graphicFrameLocks noChangeAspect="1"/>
            </wp:cNvGraphicFramePr>
            <a:graphic>
              <a:graphicData uri="http://schemas.openxmlformats.org/drawingml/2006/picture">
                <pic:pic>
                  <pic:nvPicPr>
                    <pic:cNvPr id="86" name="image64.png"/>
                    <pic:cNvPicPr/>
                  </pic:nvPicPr>
                  <pic:blipFill>
                    <a:blip r:embed="rId100" cstate="print"/>
                    <a:stretch>
                      <a:fillRect/>
                    </a:stretch>
                  </pic:blipFill>
                  <pic:spPr>
                    <a:xfrm>
                      <a:off x="0" y="0"/>
                      <a:ext cx="2177034" cy="372618"/>
                    </a:xfrm>
                    <a:prstGeom prst="rect">
                      <a:avLst/>
                    </a:prstGeom>
                  </pic:spPr>
                </pic:pic>
              </a:graphicData>
            </a:graphic>
          </wp:inline>
        </w:drawing>
      </w:r>
      <w:r>
        <w:rPr>
          <w:position w:val="-12"/>
        </w:rPr>
      </w:r>
      <w:r>
        <w:rPr>
          <w:rFonts w:ascii="Times New Roman"/>
          <w:sz w:val="20"/>
        </w:rPr>
        <w:t>        </w:t>
      </w:r>
      <w:r>
        <w:rPr>
          <w:rFonts w:ascii="Times New Roman"/>
          <w:spacing w:val="-23"/>
          <w:sz w:val="20"/>
        </w:rPr>
        <w:t> </w:t>
      </w:r>
      <w:bookmarkStart w:name="_bookmark107" w:id="168"/>
      <w:bookmarkEnd w:id="168"/>
      <w:r>
        <w:rPr>
          <w:rFonts w:ascii="Times New Roman"/>
          <w:spacing w:val="-23"/>
          <w:sz w:val="20"/>
        </w:rPr>
      </w:r>
      <w:r>
        <w:rPr>
          <w:sz w:val="60"/>
        </w:rPr>
        <w:t>Monitoring and evaluation framework</w:t>
      </w:r>
    </w:p>
    <w:p>
      <w:pPr>
        <w:pStyle w:val="BodyText"/>
        <w:rPr>
          <w:sz w:val="20"/>
        </w:rPr>
      </w:pPr>
    </w:p>
    <w:p>
      <w:pPr>
        <w:pStyle w:val="BodyText"/>
        <w:spacing w:before="5"/>
        <w:rPr>
          <w:sz w:val="19"/>
        </w:rPr>
      </w:pPr>
    </w:p>
    <w:tbl>
      <w:tblPr>
        <w:tblW w:w="0" w:type="auto"/>
        <w:jc w:val="left"/>
        <w:tblInd w:w="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9"/>
        <w:gridCol w:w="7943"/>
        <w:gridCol w:w="4448"/>
      </w:tblGrid>
      <w:tr>
        <w:trPr>
          <w:trHeight w:val="477" w:hRule="atLeast"/>
        </w:trPr>
        <w:tc>
          <w:tcPr>
            <w:tcW w:w="1819" w:type="dxa"/>
            <w:tcBorders>
              <w:top w:val="single" w:sz="24" w:space="0" w:color="61B5E4"/>
              <w:bottom w:val="single" w:sz="4" w:space="0" w:color="000000"/>
            </w:tcBorders>
          </w:tcPr>
          <w:p>
            <w:pPr>
              <w:pStyle w:val="TableParagraph"/>
              <w:spacing w:before="57"/>
              <w:ind w:left="72"/>
              <w:rPr>
                <w:b/>
                <w:sz w:val="16"/>
              </w:rPr>
            </w:pPr>
            <w:r>
              <w:rPr>
                <w:b/>
                <w:sz w:val="16"/>
              </w:rPr>
              <w:t>Evaluation focus</w:t>
            </w:r>
          </w:p>
        </w:tc>
        <w:tc>
          <w:tcPr>
            <w:tcW w:w="7943" w:type="dxa"/>
            <w:tcBorders>
              <w:top w:val="single" w:sz="24" w:space="0" w:color="61B5E4"/>
              <w:bottom w:val="single" w:sz="4" w:space="0" w:color="000000"/>
            </w:tcBorders>
          </w:tcPr>
          <w:p>
            <w:pPr>
              <w:pStyle w:val="TableParagraph"/>
              <w:spacing w:before="57"/>
              <w:ind w:left="262"/>
              <w:rPr>
                <w:b/>
                <w:sz w:val="16"/>
              </w:rPr>
            </w:pPr>
            <w:r>
              <w:rPr>
                <w:b/>
                <w:sz w:val="16"/>
              </w:rPr>
              <w:t>Suggested indicators</w:t>
            </w:r>
          </w:p>
        </w:tc>
        <w:tc>
          <w:tcPr>
            <w:tcW w:w="4448" w:type="dxa"/>
            <w:tcBorders>
              <w:top w:val="single" w:sz="24" w:space="0" w:color="61B5E4"/>
              <w:bottom w:val="single" w:sz="4" w:space="0" w:color="000000"/>
            </w:tcBorders>
          </w:tcPr>
          <w:p>
            <w:pPr>
              <w:pStyle w:val="TableParagraph"/>
              <w:spacing w:before="57"/>
              <w:ind w:left="112"/>
              <w:rPr>
                <w:b/>
                <w:sz w:val="16"/>
              </w:rPr>
            </w:pPr>
            <w:r>
              <w:rPr>
                <w:b/>
                <w:sz w:val="16"/>
              </w:rPr>
              <w:t>Suggested data source</w:t>
            </w:r>
          </w:p>
        </w:tc>
      </w:tr>
      <w:tr>
        <w:trPr>
          <w:trHeight w:val="479" w:hRule="atLeast"/>
        </w:trPr>
        <w:tc>
          <w:tcPr>
            <w:tcW w:w="14210" w:type="dxa"/>
            <w:gridSpan w:val="3"/>
            <w:tcBorders>
              <w:top w:val="single" w:sz="4" w:space="0" w:color="000000"/>
              <w:bottom w:val="single" w:sz="4" w:space="0" w:color="000000"/>
            </w:tcBorders>
            <w:shd w:val="clear" w:color="auto" w:fill="DFEFF8"/>
          </w:tcPr>
          <w:p>
            <w:pPr>
              <w:pStyle w:val="TableParagraph"/>
              <w:spacing w:before="57"/>
              <w:ind w:left="72"/>
              <w:rPr>
                <w:b/>
                <w:sz w:val="16"/>
              </w:rPr>
            </w:pPr>
            <w:r>
              <w:rPr>
                <w:b/>
                <w:sz w:val="16"/>
              </w:rPr>
              <w:t>Domain 1: Appropriateness</w:t>
            </w:r>
          </w:p>
        </w:tc>
      </w:tr>
      <w:tr>
        <w:trPr>
          <w:trHeight w:val="477" w:hRule="atLeast"/>
        </w:trPr>
        <w:tc>
          <w:tcPr>
            <w:tcW w:w="14210" w:type="dxa"/>
            <w:gridSpan w:val="3"/>
            <w:tcBorders>
              <w:top w:val="single" w:sz="4" w:space="0" w:color="000000"/>
              <w:bottom w:val="single" w:sz="4" w:space="0" w:color="000000"/>
            </w:tcBorders>
            <w:shd w:val="clear" w:color="auto" w:fill="E2E2E3"/>
          </w:tcPr>
          <w:p>
            <w:pPr>
              <w:pStyle w:val="TableParagraph"/>
              <w:spacing w:before="57"/>
              <w:ind w:left="14"/>
              <w:rPr>
                <w:b/>
                <w:sz w:val="16"/>
              </w:rPr>
            </w:pPr>
            <w:r>
              <w:rPr>
                <w:b/>
                <w:sz w:val="16"/>
              </w:rPr>
              <w:t>Evaluation question 1: To what extent were the design of Action Plan actions appropriate?</w:t>
            </w:r>
          </w:p>
        </w:tc>
      </w:tr>
      <w:tr>
        <w:trPr>
          <w:trHeight w:val="2059" w:hRule="atLeast"/>
        </w:trPr>
        <w:tc>
          <w:tcPr>
            <w:tcW w:w="1819" w:type="dxa"/>
            <w:tcBorders>
              <w:top w:val="single" w:sz="4" w:space="0" w:color="000000"/>
              <w:bottom w:val="single" w:sz="4" w:space="0" w:color="000000"/>
            </w:tcBorders>
          </w:tcPr>
          <w:p>
            <w:pPr>
              <w:pStyle w:val="TableParagraph"/>
              <w:spacing w:before="57"/>
              <w:ind w:left="72"/>
              <w:rPr>
                <w:sz w:val="16"/>
              </w:rPr>
            </w:pPr>
            <w:r>
              <w:rPr>
                <w:sz w:val="16"/>
              </w:rPr>
              <w:t>Design of actions</w:t>
            </w:r>
          </w:p>
        </w:tc>
        <w:tc>
          <w:tcPr>
            <w:tcW w:w="7943" w:type="dxa"/>
            <w:tcBorders>
              <w:top w:val="single" w:sz="4" w:space="0" w:color="000000"/>
              <w:bottom w:val="single" w:sz="4" w:space="0" w:color="000000"/>
            </w:tcBorders>
          </w:tcPr>
          <w:p>
            <w:pPr>
              <w:pStyle w:val="TableParagraph"/>
              <w:numPr>
                <w:ilvl w:val="0"/>
                <w:numId w:val="60"/>
              </w:numPr>
              <w:tabs>
                <w:tab w:pos="925" w:val="left" w:leader="none"/>
              </w:tabs>
              <w:spacing w:line="240" w:lineRule="auto" w:before="57" w:after="0"/>
              <w:ind w:left="924" w:right="61" w:hanging="360"/>
              <w:jc w:val="left"/>
              <w:rPr>
                <w:sz w:val="16"/>
              </w:rPr>
            </w:pPr>
            <w:r>
              <w:rPr>
                <w:sz w:val="16"/>
              </w:rPr>
              <w:t>The extent to which Action Plan actions are clearly linked to Our Way’s building blocks as well as other evaluation artefacts (e.g., future areas of focus and outcomes articulated in the </w:t>
            </w:r>
            <w:r>
              <w:rPr>
                <w:i/>
                <w:sz w:val="16"/>
              </w:rPr>
              <w:t>Our Way </w:t>
            </w:r>
            <w:r>
              <w:rPr>
                <w:sz w:val="16"/>
              </w:rPr>
              <w:t>Theory of Change and program</w:t>
            </w:r>
            <w:r>
              <w:rPr>
                <w:spacing w:val="-5"/>
                <w:sz w:val="16"/>
              </w:rPr>
              <w:t> </w:t>
            </w:r>
            <w:r>
              <w:rPr>
                <w:sz w:val="16"/>
              </w:rPr>
              <w:t>logic)</w:t>
            </w:r>
          </w:p>
          <w:p>
            <w:pPr>
              <w:pStyle w:val="TableParagraph"/>
              <w:numPr>
                <w:ilvl w:val="0"/>
                <w:numId w:val="60"/>
              </w:numPr>
              <w:tabs>
                <w:tab w:pos="925" w:val="left" w:leader="none"/>
              </w:tabs>
              <w:spacing w:line="240" w:lineRule="auto" w:before="0" w:after="0"/>
              <w:ind w:left="924" w:right="144" w:hanging="360"/>
              <w:jc w:val="left"/>
              <w:rPr>
                <w:sz w:val="16"/>
              </w:rPr>
            </w:pPr>
            <w:r>
              <w:rPr>
                <w:sz w:val="16"/>
              </w:rPr>
              <w:t>The extent to which the design of actions is underpinned by a clear evidence base on what works for Aboriginal and Torres Strait Islander</w:t>
            </w:r>
            <w:r>
              <w:rPr>
                <w:spacing w:val="-10"/>
                <w:sz w:val="16"/>
              </w:rPr>
              <w:t> </w:t>
            </w:r>
            <w:r>
              <w:rPr>
                <w:sz w:val="16"/>
              </w:rPr>
              <w:t>communities</w:t>
            </w:r>
          </w:p>
          <w:p>
            <w:pPr>
              <w:pStyle w:val="TableParagraph"/>
              <w:numPr>
                <w:ilvl w:val="0"/>
                <w:numId w:val="60"/>
              </w:numPr>
              <w:tabs>
                <w:tab w:pos="925" w:val="left" w:leader="none"/>
              </w:tabs>
              <w:spacing w:line="240" w:lineRule="auto" w:before="2" w:after="0"/>
              <w:ind w:left="924" w:right="235" w:hanging="360"/>
              <w:jc w:val="left"/>
              <w:rPr>
                <w:sz w:val="16"/>
              </w:rPr>
            </w:pPr>
            <w:r>
              <w:rPr>
                <w:sz w:val="16"/>
              </w:rPr>
              <w:t>The extent to which the design of actions considered contextual factors such as workforce availability, budget and the needs of Aboriginal and Torres Strait Islander peoples</w:t>
            </w:r>
          </w:p>
          <w:p>
            <w:pPr>
              <w:pStyle w:val="TableParagraph"/>
              <w:numPr>
                <w:ilvl w:val="0"/>
                <w:numId w:val="60"/>
              </w:numPr>
              <w:tabs>
                <w:tab w:pos="925" w:val="left" w:leader="none"/>
              </w:tabs>
              <w:spacing w:line="240" w:lineRule="auto" w:before="0" w:after="0"/>
              <w:ind w:left="924" w:right="1474" w:hanging="360"/>
              <w:jc w:val="left"/>
              <w:rPr>
                <w:sz w:val="16"/>
              </w:rPr>
            </w:pPr>
            <w:r>
              <w:rPr>
                <w:sz w:val="16"/>
              </w:rPr>
              <w:t>The extent to which the design of actions incorporated learnings and recommendations from earlier </w:t>
            </w:r>
            <w:r>
              <w:rPr>
                <w:i/>
                <w:sz w:val="16"/>
              </w:rPr>
              <w:t>Our Way</w:t>
            </w:r>
            <w:r>
              <w:rPr>
                <w:i/>
                <w:spacing w:val="-7"/>
                <w:sz w:val="16"/>
              </w:rPr>
              <w:t> </w:t>
            </w:r>
            <w:r>
              <w:rPr>
                <w:sz w:val="16"/>
              </w:rPr>
              <w:t>evaluations</w:t>
            </w:r>
          </w:p>
        </w:tc>
        <w:tc>
          <w:tcPr>
            <w:tcW w:w="4448" w:type="dxa"/>
            <w:tcBorders>
              <w:top w:val="single" w:sz="4" w:space="0" w:color="000000"/>
              <w:bottom w:val="single" w:sz="4" w:space="0" w:color="000000"/>
            </w:tcBorders>
          </w:tcPr>
          <w:p>
            <w:pPr>
              <w:pStyle w:val="TableParagraph"/>
              <w:numPr>
                <w:ilvl w:val="0"/>
                <w:numId w:val="61"/>
              </w:numPr>
              <w:tabs>
                <w:tab w:pos="415" w:val="left" w:leader="none"/>
                <w:tab w:pos="416" w:val="left" w:leader="none"/>
              </w:tabs>
              <w:spacing w:line="240" w:lineRule="auto" w:before="57" w:after="0"/>
              <w:ind w:left="416" w:right="226" w:hanging="361"/>
              <w:jc w:val="left"/>
              <w:rPr>
                <w:sz w:val="16"/>
              </w:rPr>
            </w:pPr>
            <w:r>
              <w:rPr>
                <w:sz w:val="16"/>
              </w:rPr>
              <w:t>Business cases and policy documents on action design</w:t>
            </w:r>
          </w:p>
        </w:tc>
      </w:tr>
      <w:tr>
        <w:trPr>
          <w:trHeight w:val="479" w:hRule="atLeast"/>
        </w:trPr>
        <w:tc>
          <w:tcPr>
            <w:tcW w:w="1819" w:type="dxa"/>
            <w:tcBorders>
              <w:top w:val="single" w:sz="4" w:space="0" w:color="000000"/>
              <w:bottom w:val="single" w:sz="4" w:space="0" w:color="000000"/>
            </w:tcBorders>
            <w:shd w:val="clear" w:color="auto" w:fill="DFEFF8"/>
          </w:tcPr>
          <w:p>
            <w:pPr>
              <w:pStyle w:val="TableParagraph"/>
              <w:spacing w:before="57"/>
              <w:ind w:left="14"/>
              <w:rPr>
                <w:b/>
                <w:sz w:val="16"/>
              </w:rPr>
            </w:pPr>
            <w:r>
              <w:rPr>
                <w:b/>
                <w:sz w:val="16"/>
              </w:rPr>
              <w:t>Domain 2: Process</w:t>
            </w:r>
          </w:p>
        </w:tc>
        <w:tc>
          <w:tcPr>
            <w:tcW w:w="7943" w:type="dxa"/>
            <w:tcBorders>
              <w:top w:val="single" w:sz="4" w:space="0" w:color="000000"/>
              <w:bottom w:val="single" w:sz="4" w:space="0" w:color="000000"/>
            </w:tcBorders>
            <w:shd w:val="clear" w:color="auto" w:fill="DFEFF8"/>
          </w:tcPr>
          <w:p>
            <w:pPr>
              <w:pStyle w:val="TableParagraph"/>
              <w:rPr>
                <w:rFonts w:ascii="Times New Roman"/>
                <w:sz w:val="16"/>
              </w:rPr>
            </w:pPr>
          </w:p>
        </w:tc>
        <w:tc>
          <w:tcPr>
            <w:tcW w:w="4448" w:type="dxa"/>
            <w:tcBorders>
              <w:top w:val="single" w:sz="4" w:space="0" w:color="000000"/>
              <w:bottom w:val="single" w:sz="4" w:space="0" w:color="000000"/>
            </w:tcBorders>
            <w:shd w:val="clear" w:color="auto" w:fill="DFEFF8"/>
          </w:tcPr>
          <w:p>
            <w:pPr>
              <w:pStyle w:val="TableParagraph"/>
              <w:rPr>
                <w:rFonts w:ascii="Times New Roman"/>
                <w:sz w:val="16"/>
              </w:rPr>
            </w:pPr>
          </w:p>
        </w:tc>
      </w:tr>
      <w:tr>
        <w:trPr>
          <w:trHeight w:val="517" w:hRule="atLeast"/>
        </w:trPr>
        <w:tc>
          <w:tcPr>
            <w:tcW w:w="14210" w:type="dxa"/>
            <w:gridSpan w:val="3"/>
            <w:tcBorders>
              <w:top w:val="single" w:sz="4" w:space="0" w:color="000000"/>
              <w:bottom w:val="single" w:sz="4" w:space="0" w:color="000000"/>
            </w:tcBorders>
            <w:shd w:val="clear" w:color="auto" w:fill="E2E2E3"/>
          </w:tcPr>
          <w:p>
            <w:pPr>
              <w:pStyle w:val="TableParagraph"/>
              <w:spacing w:before="57"/>
              <w:ind w:left="14"/>
              <w:rPr>
                <w:b/>
                <w:sz w:val="16"/>
              </w:rPr>
            </w:pPr>
            <w:r>
              <w:rPr>
                <w:b/>
                <w:sz w:val="16"/>
              </w:rPr>
              <w:t>Evaluation question 2: To what extent has the Action Plan been implemented as intended?</w:t>
            </w:r>
          </w:p>
        </w:tc>
      </w:tr>
      <w:tr>
        <w:trPr>
          <w:trHeight w:val="1281" w:hRule="atLeast"/>
        </w:trPr>
        <w:tc>
          <w:tcPr>
            <w:tcW w:w="1819" w:type="dxa"/>
            <w:tcBorders>
              <w:top w:val="single" w:sz="4" w:space="0" w:color="000000"/>
              <w:bottom w:val="single" w:sz="4" w:space="0" w:color="000000"/>
            </w:tcBorders>
          </w:tcPr>
          <w:p>
            <w:pPr>
              <w:pStyle w:val="TableParagraph"/>
              <w:spacing w:before="57"/>
              <w:ind w:left="72"/>
              <w:rPr>
                <w:sz w:val="16"/>
              </w:rPr>
            </w:pPr>
            <w:r>
              <w:rPr>
                <w:sz w:val="16"/>
              </w:rPr>
              <w:t>Fidelity</w:t>
            </w:r>
          </w:p>
        </w:tc>
        <w:tc>
          <w:tcPr>
            <w:tcW w:w="7943" w:type="dxa"/>
            <w:tcBorders>
              <w:top w:val="single" w:sz="4" w:space="0" w:color="000000"/>
              <w:bottom w:val="single" w:sz="4" w:space="0" w:color="000000"/>
            </w:tcBorders>
          </w:tcPr>
          <w:p>
            <w:pPr>
              <w:pStyle w:val="TableParagraph"/>
              <w:numPr>
                <w:ilvl w:val="0"/>
                <w:numId w:val="62"/>
              </w:numPr>
              <w:tabs>
                <w:tab w:pos="925" w:val="left" w:leader="none"/>
              </w:tabs>
              <w:spacing w:line="240" w:lineRule="auto" w:before="57" w:after="0"/>
              <w:ind w:left="924" w:right="362" w:hanging="360"/>
              <w:jc w:val="left"/>
              <w:rPr>
                <w:sz w:val="16"/>
              </w:rPr>
            </w:pPr>
            <w:r>
              <w:rPr>
                <w:sz w:val="16"/>
              </w:rPr>
              <w:t>The extent to which the implementation of actions have been timely, effective and consistent with initial design</w:t>
            </w:r>
            <w:r>
              <w:rPr>
                <w:spacing w:val="-3"/>
                <w:sz w:val="16"/>
              </w:rPr>
              <w:t> </w:t>
            </w:r>
            <w:r>
              <w:rPr>
                <w:sz w:val="16"/>
              </w:rPr>
              <w:t>decisions</w:t>
            </w:r>
          </w:p>
          <w:p>
            <w:pPr>
              <w:pStyle w:val="TableParagraph"/>
              <w:numPr>
                <w:ilvl w:val="0"/>
                <w:numId w:val="62"/>
              </w:numPr>
              <w:tabs>
                <w:tab w:pos="925" w:val="left" w:leader="none"/>
              </w:tabs>
              <w:spacing w:line="240" w:lineRule="auto" w:before="0" w:after="0"/>
              <w:ind w:left="924" w:right="0" w:hanging="361"/>
              <w:jc w:val="left"/>
              <w:rPr>
                <w:sz w:val="16"/>
              </w:rPr>
            </w:pPr>
            <w:r>
              <w:rPr>
                <w:sz w:val="16"/>
              </w:rPr>
              <w:t>The accessibility of Action Plan</w:t>
            </w:r>
            <w:r>
              <w:rPr>
                <w:spacing w:val="-5"/>
                <w:sz w:val="16"/>
              </w:rPr>
              <w:t> </w:t>
            </w:r>
            <w:r>
              <w:rPr>
                <w:sz w:val="16"/>
              </w:rPr>
              <w:t>actions</w:t>
            </w:r>
          </w:p>
          <w:p>
            <w:pPr>
              <w:pStyle w:val="TableParagraph"/>
              <w:numPr>
                <w:ilvl w:val="0"/>
                <w:numId w:val="62"/>
              </w:numPr>
              <w:tabs>
                <w:tab w:pos="925" w:val="left" w:leader="none"/>
              </w:tabs>
              <w:spacing w:line="240" w:lineRule="auto" w:before="0" w:after="0"/>
              <w:ind w:left="924" w:right="145" w:hanging="360"/>
              <w:jc w:val="left"/>
              <w:rPr>
                <w:sz w:val="16"/>
              </w:rPr>
            </w:pPr>
            <w:r>
              <w:rPr>
                <w:sz w:val="16"/>
              </w:rPr>
              <w:t>The extent to which leading agencies have supported the effective implementation of Action Plan</w:t>
            </w:r>
            <w:r>
              <w:rPr>
                <w:spacing w:val="-1"/>
                <w:sz w:val="16"/>
              </w:rPr>
              <w:t> </w:t>
            </w:r>
            <w:r>
              <w:rPr>
                <w:sz w:val="16"/>
              </w:rPr>
              <w:t>actions</w:t>
            </w:r>
          </w:p>
        </w:tc>
        <w:tc>
          <w:tcPr>
            <w:tcW w:w="4448" w:type="dxa"/>
            <w:tcBorders>
              <w:top w:val="single" w:sz="4" w:space="0" w:color="000000"/>
              <w:bottom w:val="single" w:sz="4" w:space="0" w:color="000000"/>
            </w:tcBorders>
          </w:tcPr>
          <w:p>
            <w:pPr>
              <w:pStyle w:val="TableParagraph"/>
              <w:numPr>
                <w:ilvl w:val="0"/>
                <w:numId w:val="63"/>
              </w:numPr>
              <w:tabs>
                <w:tab w:pos="415" w:val="left" w:leader="none"/>
                <w:tab w:pos="416" w:val="left" w:leader="none"/>
              </w:tabs>
              <w:spacing w:line="195" w:lineRule="exact" w:before="57" w:after="0"/>
              <w:ind w:left="416" w:right="0" w:hanging="361"/>
              <w:jc w:val="left"/>
              <w:rPr>
                <w:sz w:val="16"/>
              </w:rPr>
            </w:pPr>
            <w:r>
              <w:rPr>
                <w:sz w:val="16"/>
              </w:rPr>
              <w:t>Relevant policy</w:t>
            </w:r>
            <w:r>
              <w:rPr>
                <w:spacing w:val="-5"/>
                <w:sz w:val="16"/>
              </w:rPr>
              <w:t> </w:t>
            </w:r>
            <w:r>
              <w:rPr>
                <w:sz w:val="16"/>
              </w:rPr>
              <w:t>documents</w:t>
            </w:r>
          </w:p>
          <w:p>
            <w:pPr>
              <w:pStyle w:val="TableParagraph"/>
              <w:numPr>
                <w:ilvl w:val="0"/>
                <w:numId w:val="63"/>
              </w:numPr>
              <w:tabs>
                <w:tab w:pos="415" w:val="left" w:leader="none"/>
                <w:tab w:pos="416" w:val="left" w:leader="none"/>
              </w:tabs>
              <w:spacing w:line="240" w:lineRule="auto" w:before="0" w:after="0"/>
              <w:ind w:left="416" w:right="163" w:hanging="361"/>
              <w:jc w:val="left"/>
              <w:rPr>
                <w:sz w:val="16"/>
              </w:rPr>
            </w:pPr>
            <w:r>
              <w:rPr>
                <w:sz w:val="16"/>
              </w:rPr>
              <w:t>Surveys and consultations with government stakeholders, service providers, children, young people, families and community</w:t>
            </w:r>
            <w:r>
              <w:rPr>
                <w:spacing w:val="-4"/>
                <w:sz w:val="16"/>
              </w:rPr>
              <w:t> </w:t>
            </w:r>
            <w:r>
              <w:rPr>
                <w:sz w:val="16"/>
              </w:rPr>
              <w:t>members</w:t>
            </w:r>
          </w:p>
        </w:tc>
      </w:tr>
      <w:tr>
        <w:trPr>
          <w:trHeight w:val="892" w:hRule="atLeast"/>
        </w:trPr>
        <w:tc>
          <w:tcPr>
            <w:tcW w:w="1819" w:type="dxa"/>
            <w:tcBorders>
              <w:top w:val="single" w:sz="4" w:space="0" w:color="000000"/>
              <w:bottom w:val="single" w:sz="4" w:space="0" w:color="000000"/>
            </w:tcBorders>
          </w:tcPr>
          <w:p>
            <w:pPr>
              <w:pStyle w:val="TableParagraph"/>
              <w:spacing w:before="57"/>
              <w:ind w:left="72"/>
              <w:rPr>
                <w:sz w:val="16"/>
              </w:rPr>
            </w:pPr>
            <w:r>
              <w:rPr>
                <w:sz w:val="16"/>
              </w:rPr>
              <w:t>Implementation</w:t>
            </w:r>
          </w:p>
        </w:tc>
        <w:tc>
          <w:tcPr>
            <w:tcW w:w="7943" w:type="dxa"/>
            <w:tcBorders>
              <w:top w:val="single" w:sz="4" w:space="0" w:color="000000"/>
              <w:bottom w:val="single" w:sz="4" w:space="0" w:color="000000"/>
            </w:tcBorders>
          </w:tcPr>
          <w:p>
            <w:pPr>
              <w:pStyle w:val="TableParagraph"/>
              <w:numPr>
                <w:ilvl w:val="0"/>
                <w:numId w:val="64"/>
              </w:numPr>
              <w:tabs>
                <w:tab w:pos="925" w:val="left" w:leader="none"/>
              </w:tabs>
              <w:spacing w:line="240" w:lineRule="auto" w:before="57" w:after="0"/>
              <w:ind w:left="924" w:right="484" w:hanging="360"/>
              <w:jc w:val="left"/>
              <w:rPr>
                <w:sz w:val="16"/>
              </w:rPr>
            </w:pPr>
            <w:r>
              <w:rPr>
                <w:sz w:val="16"/>
              </w:rPr>
              <w:t>Key implementation barriers and enablers which impacted the implementation of action</w:t>
            </w:r>
            <w:r>
              <w:rPr>
                <w:spacing w:val="-1"/>
                <w:sz w:val="16"/>
              </w:rPr>
              <w:t> </w:t>
            </w:r>
            <w:r>
              <w:rPr>
                <w:sz w:val="16"/>
              </w:rPr>
              <w:t>plans</w:t>
            </w:r>
          </w:p>
          <w:p>
            <w:pPr>
              <w:pStyle w:val="TableParagraph"/>
              <w:numPr>
                <w:ilvl w:val="0"/>
                <w:numId w:val="64"/>
              </w:numPr>
              <w:tabs>
                <w:tab w:pos="925" w:val="left" w:leader="none"/>
              </w:tabs>
              <w:spacing w:line="240" w:lineRule="auto" w:before="0" w:after="0"/>
              <w:ind w:left="924" w:right="53" w:hanging="360"/>
              <w:jc w:val="left"/>
              <w:rPr>
                <w:sz w:val="16"/>
              </w:rPr>
            </w:pPr>
            <w:r>
              <w:rPr>
                <w:sz w:val="16"/>
              </w:rPr>
              <w:t>The extent to which implementation barriers and enablers varied by context – such as location, type of initiative and target</w:t>
            </w:r>
            <w:r>
              <w:rPr>
                <w:spacing w:val="-2"/>
                <w:sz w:val="16"/>
              </w:rPr>
              <w:t> </w:t>
            </w:r>
            <w:r>
              <w:rPr>
                <w:sz w:val="16"/>
              </w:rPr>
              <w:t>cohort</w:t>
            </w:r>
          </w:p>
        </w:tc>
        <w:tc>
          <w:tcPr>
            <w:tcW w:w="4448" w:type="dxa"/>
            <w:tcBorders>
              <w:top w:val="single" w:sz="4" w:space="0" w:color="000000"/>
              <w:bottom w:val="single" w:sz="4" w:space="0" w:color="000000"/>
            </w:tcBorders>
          </w:tcPr>
          <w:p>
            <w:pPr>
              <w:pStyle w:val="TableParagraph"/>
              <w:numPr>
                <w:ilvl w:val="0"/>
                <w:numId w:val="65"/>
              </w:numPr>
              <w:tabs>
                <w:tab w:pos="415" w:val="left" w:leader="none"/>
                <w:tab w:pos="416" w:val="left" w:leader="none"/>
              </w:tabs>
              <w:spacing w:line="240" w:lineRule="auto" w:before="57" w:after="0"/>
              <w:ind w:left="416" w:right="163" w:hanging="361"/>
              <w:jc w:val="left"/>
              <w:rPr>
                <w:sz w:val="16"/>
              </w:rPr>
            </w:pPr>
            <w:r>
              <w:rPr>
                <w:sz w:val="16"/>
              </w:rPr>
              <w:t>Surveys and consultations with government stakeholders, service providers, children, young people, families and community</w:t>
            </w:r>
            <w:r>
              <w:rPr>
                <w:spacing w:val="-4"/>
                <w:sz w:val="16"/>
              </w:rPr>
              <w:t> </w:t>
            </w:r>
            <w:r>
              <w:rPr>
                <w:sz w:val="16"/>
              </w:rPr>
              <w:t>members</w:t>
            </w:r>
          </w:p>
        </w:tc>
      </w:tr>
    </w:tbl>
    <w:p>
      <w:pPr>
        <w:spacing w:after="0" w:line="240" w:lineRule="auto"/>
        <w:jc w:val="left"/>
        <w:rPr>
          <w:sz w:val="16"/>
        </w:rPr>
        <w:sectPr>
          <w:headerReference w:type="default" r:id="rId98"/>
          <w:footerReference w:type="default" r:id="rId99"/>
          <w:pgSz w:w="16840" w:h="11910" w:orient="landscape"/>
          <w:pgMar w:header="650" w:footer="420" w:top="1180" w:bottom="620" w:left="880" w:right="1320"/>
          <w:pgNumType w:start="72"/>
        </w:sectPr>
      </w:pPr>
    </w:p>
    <w:p>
      <w:pPr>
        <w:pStyle w:val="BodyText"/>
        <w:spacing w:before="4"/>
        <w:rPr>
          <w:sz w:val="21"/>
        </w:rPr>
      </w:pPr>
    </w:p>
    <w:tbl>
      <w:tblPr>
        <w:tblW w:w="0" w:type="auto"/>
        <w:jc w:val="left"/>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7"/>
        <w:gridCol w:w="7495"/>
        <w:gridCol w:w="4714"/>
      </w:tblGrid>
      <w:tr>
        <w:trPr>
          <w:trHeight w:val="514" w:hRule="atLeast"/>
        </w:trPr>
        <w:tc>
          <w:tcPr>
            <w:tcW w:w="1767" w:type="dxa"/>
            <w:tcBorders>
              <w:top w:val="single" w:sz="24" w:space="0" w:color="61B5E4"/>
              <w:bottom w:val="single" w:sz="34" w:space="0" w:color="DFEFF8"/>
            </w:tcBorders>
          </w:tcPr>
          <w:p>
            <w:pPr>
              <w:pStyle w:val="TableParagraph"/>
              <w:spacing w:before="103"/>
              <w:ind w:left="71"/>
              <w:rPr>
                <w:b/>
                <w:sz w:val="16"/>
              </w:rPr>
            </w:pPr>
            <w:r>
              <w:rPr>
                <w:b/>
                <w:sz w:val="16"/>
              </w:rPr>
              <w:t>Evaluation focus</w:t>
            </w:r>
          </w:p>
        </w:tc>
        <w:tc>
          <w:tcPr>
            <w:tcW w:w="7495" w:type="dxa"/>
            <w:tcBorders>
              <w:top w:val="single" w:sz="24" w:space="0" w:color="61B5E4"/>
              <w:bottom w:val="single" w:sz="34" w:space="0" w:color="DFEFF8"/>
            </w:tcBorders>
          </w:tcPr>
          <w:p>
            <w:pPr>
              <w:pStyle w:val="TableParagraph"/>
              <w:spacing w:before="103"/>
              <w:ind w:left="148"/>
              <w:rPr>
                <w:b/>
                <w:sz w:val="16"/>
              </w:rPr>
            </w:pPr>
            <w:r>
              <w:rPr>
                <w:b/>
                <w:sz w:val="16"/>
              </w:rPr>
              <w:t>Suggested indictors</w:t>
            </w:r>
          </w:p>
        </w:tc>
        <w:tc>
          <w:tcPr>
            <w:tcW w:w="4714" w:type="dxa"/>
            <w:tcBorders>
              <w:top w:val="single" w:sz="24" w:space="0" w:color="61B5E4"/>
              <w:bottom w:val="single" w:sz="34" w:space="0" w:color="DFEFF8"/>
            </w:tcBorders>
          </w:tcPr>
          <w:p>
            <w:pPr>
              <w:pStyle w:val="TableParagraph"/>
              <w:spacing w:before="103"/>
              <w:ind w:left="116"/>
              <w:rPr>
                <w:b/>
                <w:sz w:val="16"/>
              </w:rPr>
            </w:pPr>
            <w:r>
              <w:rPr>
                <w:b/>
                <w:sz w:val="16"/>
              </w:rPr>
              <w:t>Suggested data sources</w:t>
            </w:r>
          </w:p>
        </w:tc>
      </w:tr>
      <w:tr>
        <w:trPr>
          <w:trHeight w:val="421" w:hRule="atLeast"/>
        </w:trPr>
        <w:tc>
          <w:tcPr>
            <w:tcW w:w="13976" w:type="dxa"/>
            <w:gridSpan w:val="3"/>
            <w:tcBorders>
              <w:top w:val="single" w:sz="4" w:space="0" w:color="000000"/>
              <w:bottom w:val="single" w:sz="34" w:space="0" w:color="E2E2E3"/>
            </w:tcBorders>
            <w:shd w:val="clear" w:color="auto" w:fill="DFEFF8"/>
          </w:tcPr>
          <w:p>
            <w:pPr>
              <w:pStyle w:val="TableParagraph"/>
              <w:spacing w:before="36"/>
              <w:ind w:left="71"/>
              <w:rPr>
                <w:b/>
                <w:sz w:val="16"/>
              </w:rPr>
            </w:pPr>
            <w:r>
              <w:rPr>
                <w:b/>
                <w:sz w:val="16"/>
              </w:rPr>
              <w:t>Domain 3: </w:t>
            </w:r>
            <w:r>
              <w:rPr>
                <w:b/>
                <w:i/>
                <w:sz w:val="16"/>
              </w:rPr>
              <w:t>Our Way’s </w:t>
            </w:r>
            <w:r>
              <w:rPr>
                <w:b/>
                <w:sz w:val="16"/>
              </w:rPr>
              <w:t>future areas of focus</w:t>
            </w:r>
          </w:p>
        </w:tc>
      </w:tr>
      <w:tr>
        <w:trPr>
          <w:trHeight w:val="418" w:hRule="atLeast"/>
        </w:trPr>
        <w:tc>
          <w:tcPr>
            <w:tcW w:w="13976" w:type="dxa"/>
            <w:gridSpan w:val="3"/>
            <w:tcBorders>
              <w:top w:val="single" w:sz="34" w:space="0" w:color="DFEFF8"/>
              <w:bottom w:val="single" w:sz="4" w:space="0" w:color="000000"/>
            </w:tcBorders>
            <w:shd w:val="clear" w:color="auto" w:fill="E2E2E3"/>
          </w:tcPr>
          <w:p>
            <w:pPr>
              <w:pStyle w:val="TableParagraph"/>
              <w:spacing w:before="65"/>
              <w:ind w:left="71"/>
              <w:rPr>
                <w:b/>
                <w:sz w:val="16"/>
              </w:rPr>
            </w:pPr>
            <w:r>
              <w:rPr>
                <w:b/>
                <w:sz w:val="16"/>
              </w:rPr>
              <w:t>Evaluation question 3: To what extent has there been progress in addressing </w:t>
            </w:r>
            <w:r>
              <w:rPr>
                <w:b/>
                <w:i/>
                <w:sz w:val="16"/>
              </w:rPr>
              <w:t>Our Way’s </w:t>
            </w:r>
            <w:r>
              <w:rPr>
                <w:b/>
                <w:sz w:val="16"/>
              </w:rPr>
              <w:t>key reform areas?</w:t>
            </w:r>
          </w:p>
        </w:tc>
      </w:tr>
      <w:tr>
        <w:trPr>
          <w:trHeight w:val="1467" w:hRule="atLeast"/>
        </w:trPr>
        <w:tc>
          <w:tcPr>
            <w:tcW w:w="1767" w:type="dxa"/>
            <w:tcBorders>
              <w:top w:val="single" w:sz="34" w:space="0" w:color="E2E2E3"/>
              <w:bottom w:val="single" w:sz="4" w:space="0" w:color="000000"/>
            </w:tcBorders>
          </w:tcPr>
          <w:p>
            <w:pPr>
              <w:pStyle w:val="TableParagraph"/>
              <w:spacing w:line="297" w:lineRule="auto" w:before="94"/>
              <w:ind w:left="71" w:right="227"/>
              <w:rPr>
                <w:sz w:val="16"/>
              </w:rPr>
            </w:pPr>
            <w:r>
              <w:rPr>
                <w:sz w:val="16"/>
              </w:rPr>
              <w:t>1: Transformative changes in the system</w:t>
            </w:r>
          </w:p>
        </w:tc>
        <w:tc>
          <w:tcPr>
            <w:tcW w:w="7495" w:type="dxa"/>
            <w:tcBorders>
              <w:top w:val="single" w:sz="34" w:space="0" w:color="E2E2E3"/>
              <w:bottom w:val="single" w:sz="4" w:space="0" w:color="000000"/>
            </w:tcBorders>
          </w:tcPr>
          <w:p>
            <w:pPr>
              <w:pStyle w:val="TableParagraph"/>
              <w:numPr>
                <w:ilvl w:val="0"/>
                <w:numId w:val="66"/>
              </w:numPr>
              <w:tabs>
                <w:tab w:pos="811" w:val="left" w:leader="none"/>
              </w:tabs>
              <w:spacing w:line="240" w:lineRule="auto" w:before="48" w:after="0"/>
              <w:ind w:left="811" w:right="417" w:hanging="360"/>
              <w:jc w:val="left"/>
              <w:rPr>
                <w:sz w:val="16"/>
              </w:rPr>
            </w:pPr>
            <w:r>
              <w:rPr>
                <w:sz w:val="16"/>
              </w:rPr>
              <w:t>The extent to which there have been changes in systems / policies to support genuine co-design processes and greater community-led decision</w:t>
            </w:r>
            <w:r>
              <w:rPr>
                <w:spacing w:val="-10"/>
                <w:sz w:val="16"/>
              </w:rPr>
              <w:t> </w:t>
            </w:r>
            <w:r>
              <w:rPr>
                <w:sz w:val="16"/>
              </w:rPr>
              <w:t>making</w:t>
            </w:r>
          </w:p>
          <w:p>
            <w:pPr>
              <w:pStyle w:val="TableParagraph"/>
              <w:numPr>
                <w:ilvl w:val="0"/>
                <w:numId w:val="66"/>
              </w:numPr>
              <w:tabs>
                <w:tab w:pos="811" w:val="left" w:leader="none"/>
              </w:tabs>
              <w:spacing w:line="240" w:lineRule="auto" w:before="0" w:after="0"/>
              <w:ind w:left="811" w:right="421" w:hanging="360"/>
              <w:jc w:val="left"/>
              <w:rPr>
                <w:sz w:val="16"/>
              </w:rPr>
            </w:pPr>
            <w:r>
              <w:rPr>
                <w:sz w:val="16"/>
              </w:rPr>
              <w:t>Reported increase in Indigenous voice, leadership and governance in decision making processes among government agencies and non-Indigenous service providers</w:t>
            </w:r>
          </w:p>
          <w:p>
            <w:pPr>
              <w:pStyle w:val="TableParagraph"/>
              <w:numPr>
                <w:ilvl w:val="0"/>
                <w:numId w:val="66"/>
              </w:numPr>
              <w:tabs>
                <w:tab w:pos="811" w:val="left" w:leader="none"/>
              </w:tabs>
              <w:spacing w:line="240" w:lineRule="auto" w:before="1" w:after="0"/>
              <w:ind w:left="811" w:right="137" w:hanging="360"/>
              <w:jc w:val="left"/>
              <w:rPr>
                <w:sz w:val="16"/>
              </w:rPr>
            </w:pPr>
            <w:r>
              <w:rPr>
                <w:sz w:val="16"/>
              </w:rPr>
              <w:t>The extent to which the Aboriginal and Torres Strait Islander individuals,</w:t>
            </w:r>
            <w:r>
              <w:rPr>
                <w:spacing w:val="-22"/>
                <w:sz w:val="16"/>
              </w:rPr>
              <w:t> </w:t>
            </w:r>
            <w:r>
              <w:rPr>
                <w:sz w:val="16"/>
              </w:rPr>
              <w:t>families and communities perceive that they have greater access to</w:t>
            </w:r>
            <w:r>
              <w:rPr>
                <w:spacing w:val="-10"/>
                <w:sz w:val="16"/>
              </w:rPr>
              <w:t> </w:t>
            </w:r>
            <w:r>
              <w:rPr>
                <w:sz w:val="16"/>
              </w:rPr>
              <w:t>self-determination</w:t>
            </w:r>
          </w:p>
        </w:tc>
        <w:tc>
          <w:tcPr>
            <w:tcW w:w="4714" w:type="dxa"/>
            <w:tcBorders>
              <w:top w:val="single" w:sz="34" w:space="0" w:color="E2E2E3"/>
              <w:bottom w:val="single" w:sz="4" w:space="0" w:color="000000"/>
            </w:tcBorders>
          </w:tcPr>
          <w:p>
            <w:pPr>
              <w:pStyle w:val="TableParagraph"/>
              <w:numPr>
                <w:ilvl w:val="0"/>
                <w:numId w:val="67"/>
              </w:numPr>
              <w:tabs>
                <w:tab w:pos="418" w:val="left" w:leader="none"/>
                <w:tab w:pos="419" w:val="left" w:leader="none"/>
              </w:tabs>
              <w:spacing w:line="240" w:lineRule="auto" w:before="94" w:after="0"/>
              <w:ind w:left="418" w:right="0" w:hanging="361"/>
              <w:jc w:val="left"/>
              <w:rPr>
                <w:sz w:val="16"/>
              </w:rPr>
            </w:pPr>
            <w:r>
              <w:rPr>
                <w:sz w:val="16"/>
              </w:rPr>
              <w:t>Action plan implementation</w:t>
            </w:r>
            <w:r>
              <w:rPr>
                <w:spacing w:val="-7"/>
                <w:sz w:val="16"/>
              </w:rPr>
              <w:t> </w:t>
            </w:r>
            <w:r>
              <w:rPr>
                <w:sz w:val="16"/>
              </w:rPr>
              <w:t>documents</w:t>
            </w:r>
          </w:p>
          <w:p>
            <w:pPr>
              <w:pStyle w:val="TableParagraph"/>
              <w:numPr>
                <w:ilvl w:val="0"/>
                <w:numId w:val="67"/>
              </w:numPr>
              <w:tabs>
                <w:tab w:pos="418" w:val="left" w:leader="none"/>
                <w:tab w:pos="419" w:val="left" w:leader="none"/>
              </w:tabs>
              <w:spacing w:line="295" w:lineRule="auto" w:before="44" w:after="0"/>
              <w:ind w:left="418" w:right="427" w:hanging="360"/>
              <w:jc w:val="left"/>
              <w:rPr>
                <w:sz w:val="16"/>
              </w:rPr>
            </w:pPr>
            <w:r>
              <w:rPr>
                <w:sz w:val="16"/>
              </w:rPr>
              <w:t>Surveys and consultations with government stakeholders, service providers, children, young people, families and community</w:t>
            </w:r>
            <w:r>
              <w:rPr>
                <w:spacing w:val="-4"/>
                <w:sz w:val="16"/>
              </w:rPr>
              <w:t> </w:t>
            </w:r>
            <w:r>
              <w:rPr>
                <w:sz w:val="16"/>
              </w:rPr>
              <w:t>members</w:t>
            </w:r>
          </w:p>
        </w:tc>
      </w:tr>
      <w:tr>
        <w:trPr>
          <w:trHeight w:val="2059" w:hRule="atLeast"/>
        </w:trPr>
        <w:tc>
          <w:tcPr>
            <w:tcW w:w="1767" w:type="dxa"/>
            <w:tcBorders>
              <w:top w:val="single" w:sz="4" w:space="0" w:color="000000"/>
              <w:bottom w:val="single" w:sz="4" w:space="0" w:color="000000"/>
            </w:tcBorders>
          </w:tcPr>
          <w:p>
            <w:pPr>
              <w:pStyle w:val="TableParagraph"/>
              <w:spacing w:line="295" w:lineRule="auto" w:before="103"/>
              <w:ind w:left="71" w:right="353"/>
              <w:rPr>
                <w:sz w:val="16"/>
              </w:rPr>
            </w:pPr>
            <w:r>
              <w:rPr>
                <w:sz w:val="16"/>
              </w:rPr>
              <w:t>2: Sustainable growth of the community- controlled sector</w:t>
            </w:r>
          </w:p>
        </w:tc>
        <w:tc>
          <w:tcPr>
            <w:tcW w:w="7495" w:type="dxa"/>
            <w:tcBorders>
              <w:top w:val="single" w:sz="4" w:space="0" w:color="000000"/>
              <w:bottom w:val="single" w:sz="4" w:space="0" w:color="000000"/>
            </w:tcBorders>
          </w:tcPr>
          <w:p>
            <w:pPr>
              <w:pStyle w:val="TableParagraph"/>
              <w:numPr>
                <w:ilvl w:val="0"/>
                <w:numId w:val="68"/>
              </w:numPr>
              <w:tabs>
                <w:tab w:pos="811" w:val="left" w:leader="none"/>
              </w:tabs>
              <w:spacing w:line="240" w:lineRule="auto" w:before="57" w:after="0"/>
              <w:ind w:left="811" w:right="0" w:hanging="360"/>
              <w:jc w:val="left"/>
              <w:rPr>
                <w:sz w:val="16"/>
              </w:rPr>
            </w:pPr>
            <w:r>
              <w:rPr>
                <w:sz w:val="16"/>
              </w:rPr>
              <w:t>Level of investment in</w:t>
            </w:r>
            <w:r>
              <w:rPr>
                <w:spacing w:val="-3"/>
                <w:sz w:val="16"/>
              </w:rPr>
              <w:t> </w:t>
            </w:r>
            <w:r>
              <w:rPr>
                <w:sz w:val="16"/>
              </w:rPr>
              <w:t>ACCOs</w:t>
            </w:r>
          </w:p>
          <w:p>
            <w:pPr>
              <w:pStyle w:val="TableParagraph"/>
              <w:numPr>
                <w:ilvl w:val="0"/>
                <w:numId w:val="68"/>
              </w:numPr>
              <w:tabs>
                <w:tab w:pos="811" w:val="left" w:leader="none"/>
              </w:tabs>
              <w:spacing w:line="240" w:lineRule="auto" w:before="0" w:after="0"/>
              <w:ind w:left="811" w:right="144" w:hanging="360"/>
              <w:jc w:val="left"/>
              <w:rPr>
                <w:sz w:val="16"/>
              </w:rPr>
            </w:pPr>
            <w:r>
              <w:rPr>
                <w:sz w:val="16"/>
              </w:rPr>
              <w:t>Reported improvements in the level of genuine partnerships between ACCOs</w:t>
            </w:r>
            <w:r>
              <w:rPr>
                <w:spacing w:val="-24"/>
                <w:sz w:val="16"/>
              </w:rPr>
              <w:t> </w:t>
            </w:r>
            <w:r>
              <w:rPr>
                <w:sz w:val="16"/>
              </w:rPr>
              <w:t>and non-Indigenous</w:t>
            </w:r>
            <w:r>
              <w:rPr>
                <w:spacing w:val="-1"/>
                <w:sz w:val="16"/>
              </w:rPr>
              <w:t> </w:t>
            </w:r>
            <w:r>
              <w:rPr>
                <w:sz w:val="16"/>
              </w:rPr>
              <w:t>organisations</w:t>
            </w:r>
          </w:p>
          <w:p>
            <w:pPr>
              <w:pStyle w:val="TableParagraph"/>
              <w:numPr>
                <w:ilvl w:val="0"/>
                <w:numId w:val="68"/>
              </w:numPr>
              <w:tabs>
                <w:tab w:pos="811" w:val="left" w:leader="none"/>
              </w:tabs>
              <w:spacing w:line="240" w:lineRule="auto" w:before="0" w:after="0"/>
              <w:ind w:left="811" w:right="264" w:hanging="360"/>
              <w:jc w:val="left"/>
              <w:rPr>
                <w:sz w:val="16"/>
              </w:rPr>
            </w:pPr>
            <w:r>
              <w:rPr>
                <w:sz w:val="16"/>
              </w:rPr>
              <w:t>Effectiveness of ACCO services (e.g. the Aboriginal and Torres Strait Islander Family Wellbeing Services) in meeting the needs of Aboriginal and Torres Strait Islander</w:t>
            </w:r>
            <w:r>
              <w:rPr>
                <w:spacing w:val="-2"/>
                <w:sz w:val="16"/>
              </w:rPr>
              <w:t> </w:t>
            </w:r>
            <w:r>
              <w:rPr>
                <w:sz w:val="16"/>
              </w:rPr>
              <w:t>peoples</w:t>
            </w:r>
          </w:p>
          <w:p>
            <w:pPr>
              <w:pStyle w:val="TableParagraph"/>
              <w:numPr>
                <w:ilvl w:val="0"/>
                <w:numId w:val="68"/>
              </w:numPr>
              <w:tabs>
                <w:tab w:pos="811" w:val="left" w:leader="none"/>
              </w:tabs>
              <w:spacing w:line="240" w:lineRule="auto" w:before="0" w:after="0"/>
              <w:ind w:left="811" w:right="206" w:hanging="360"/>
              <w:jc w:val="left"/>
              <w:rPr>
                <w:sz w:val="16"/>
              </w:rPr>
            </w:pPr>
            <w:r>
              <w:rPr>
                <w:sz w:val="16"/>
              </w:rPr>
              <w:t>The extent to which ACCOs are supported to grow in a sustainable manner (e.g. through capability building and workforce development</w:t>
            </w:r>
            <w:r>
              <w:rPr>
                <w:spacing w:val="-6"/>
                <w:sz w:val="16"/>
              </w:rPr>
              <w:t> </w:t>
            </w:r>
            <w:r>
              <w:rPr>
                <w:sz w:val="16"/>
              </w:rPr>
              <w:t>initiatives)</w:t>
            </w:r>
          </w:p>
          <w:p>
            <w:pPr>
              <w:pStyle w:val="TableParagraph"/>
              <w:numPr>
                <w:ilvl w:val="0"/>
                <w:numId w:val="68"/>
              </w:numPr>
              <w:tabs>
                <w:tab w:pos="811" w:val="left" w:leader="none"/>
              </w:tabs>
              <w:spacing w:line="240" w:lineRule="auto" w:before="0" w:after="0"/>
              <w:ind w:left="811" w:right="322" w:hanging="360"/>
              <w:jc w:val="left"/>
              <w:rPr>
                <w:sz w:val="16"/>
              </w:rPr>
            </w:pPr>
            <w:r>
              <w:rPr>
                <w:sz w:val="16"/>
              </w:rPr>
              <w:t>The extent to which successful place-based services or initiatives (delivered by ACCOs) are allocated additional funding resources for further</w:t>
            </w:r>
            <w:r>
              <w:rPr>
                <w:spacing w:val="-12"/>
                <w:sz w:val="16"/>
              </w:rPr>
              <w:t> </w:t>
            </w:r>
            <w:r>
              <w:rPr>
                <w:sz w:val="16"/>
              </w:rPr>
              <w:t>expansion</w:t>
            </w:r>
          </w:p>
        </w:tc>
        <w:tc>
          <w:tcPr>
            <w:tcW w:w="4714" w:type="dxa"/>
            <w:tcBorders>
              <w:top w:val="single" w:sz="4" w:space="0" w:color="000000"/>
              <w:bottom w:val="single" w:sz="4" w:space="0" w:color="000000"/>
            </w:tcBorders>
          </w:tcPr>
          <w:p>
            <w:pPr>
              <w:pStyle w:val="TableParagraph"/>
              <w:numPr>
                <w:ilvl w:val="0"/>
                <w:numId w:val="69"/>
              </w:numPr>
              <w:tabs>
                <w:tab w:pos="418" w:val="left" w:leader="none"/>
                <w:tab w:pos="419" w:val="left" w:leader="none"/>
              </w:tabs>
              <w:spacing w:line="240" w:lineRule="auto" w:before="103" w:after="0"/>
              <w:ind w:left="418" w:right="0" w:hanging="361"/>
              <w:jc w:val="left"/>
              <w:rPr>
                <w:sz w:val="16"/>
              </w:rPr>
            </w:pPr>
            <w:r>
              <w:rPr>
                <w:sz w:val="16"/>
              </w:rPr>
              <w:t>Evaluation of services delivered by</w:t>
            </w:r>
            <w:r>
              <w:rPr>
                <w:spacing w:val="-4"/>
                <w:sz w:val="16"/>
              </w:rPr>
              <w:t> </w:t>
            </w:r>
            <w:r>
              <w:rPr>
                <w:sz w:val="16"/>
              </w:rPr>
              <w:t>ACCOs</w:t>
            </w:r>
          </w:p>
          <w:p>
            <w:pPr>
              <w:pStyle w:val="TableParagraph"/>
              <w:numPr>
                <w:ilvl w:val="0"/>
                <w:numId w:val="69"/>
              </w:numPr>
              <w:tabs>
                <w:tab w:pos="418" w:val="left" w:leader="none"/>
                <w:tab w:pos="419" w:val="left" w:leader="none"/>
              </w:tabs>
              <w:spacing w:line="240" w:lineRule="auto" w:before="44" w:after="0"/>
              <w:ind w:left="418" w:right="0" w:hanging="361"/>
              <w:jc w:val="left"/>
              <w:rPr>
                <w:sz w:val="16"/>
              </w:rPr>
            </w:pPr>
            <w:r>
              <w:rPr>
                <w:sz w:val="16"/>
              </w:rPr>
              <w:t>Documentation of capability building</w:t>
            </w:r>
            <w:r>
              <w:rPr>
                <w:spacing w:val="-1"/>
                <w:sz w:val="16"/>
              </w:rPr>
              <w:t> </w:t>
            </w:r>
            <w:r>
              <w:rPr>
                <w:sz w:val="16"/>
              </w:rPr>
              <w:t>supports</w:t>
            </w:r>
          </w:p>
          <w:p>
            <w:pPr>
              <w:pStyle w:val="TableParagraph"/>
              <w:numPr>
                <w:ilvl w:val="0"/>
                <w:numId w:val="69"/>
              </w:numPr>
              <w:tabs>
                <w:tab w:pos="418" w:val="left" w:leader="none"/>
                <w:tab w:pos="419" w:val="left" w:leader="none"/>
              </w:tabs>
              <w:spacing w:line="295" w:lineRule="auto" w:before="44" w:after="0"/>
              <w:ind w:left="418" w:right="427" w:hanging="360"/>
              <w:jc w:val="left"/>
              <w:rPr>
                <w:sz w:val="16"/>
              </w:rPr>
            </w:pPr>
            <w:r>
              <w:rPr>
                <w:sz w:val="16"/>
              </w:rPr>
              <w:t>Surveys and consultations with government stakeholders, service providers, children, young people, families and community</w:t>
            </w:r>
            <w:r>
              <w:rPr>
                <w:spacing w:val="-4"/>
                <w:sz w:val="16"/>
              </w:rPr>
              <w:t> </w:t>
            </w:r>
            <w:r>
              <w:rPr>
                <w:sz w:val="16"/>
              </w:rPr>
              <w:t>members</w:t>
            </w:r>
          </w:p>
        </w:tc>
      </w:tr>
      <w:tr>
        <w:trPr>
          <w:trHeight w:val="2642" w:hRule="atLeast"/>
        </w:trPr>
        <w:tc>
          <w:tcPr>
            <w:tcW w:w="1767" w:type="dxa"/>
            <w:tcBorders>
              <w:top w:val="single" w:sz="4" w:space="0" w:color="000000"/>
              <w:bottom w:val="single" w:sz="4" w:space="0" w:color="000000"/>
            </w:tcBorders>
          </w:tcPr>
          <w:p>
            <w:pPr>
              <w:pStyle w:val="TableParagraph"/>
              <w:spacing w:line="295" w:lineRule="auto" w:before="103"/>
              <w:ind w:left="71" w:right="86"/>
              <w:rPr>
                <w:sz w:val="16"/>
              </w:rPr>
            </w:pPr>
            <w:r>
              <w:rPr>
                <w:sz w:val="16"/>
              </w:rPr>
              <w:t>3: Re-orientation of government mechanisms</w:t>
            </w:r>
          </w:p>
        </w:tc>
        <w:tc>
          <w:tcPr>
            <w:tcW w:w="7495" w:type="dxa"/>
            <w:tcBorders>
              <w:top w:val="single" w:sz="4" w:space="0" w:color="000000"/>
              <w:bottom w:val="single" w:sz="4" w:space="0" w:color="000000"/>
            </w:tcBorders>
          </w:tcPr>
          <w:p>
            <w:pPr>
              <w:pStyle w:val="TableParagraph"/>
              <w:numPr>
                <w:ilvl w:val="0"/>
                <w:numId w:val="70"/>
              </w:numPr>
              <w:tabs>
                <w:tab w:pos="811" w:val="left" w:leader="none"/>
              </w:tabs>
              <w:spacing w:line="240" w:lineRule="auto" w:before="57" w:after="0"/>
              <w:ind w:left="811" w:right="0" w:hanging="360"/>
              <w:jc w:val="both"/>
              <w:rPr>
                <w:sz w:val="16"/>
              </w:rPr>
            </w:pPr>
            <w:r>
              <w:rPr>
                <w:sz w:val="16"/>
              </w:rPr>
              <w:t>Reported reduction of systemic racism among non-Indigenous</w:t>
            </w:r>
            <w:r>
              <w:rPr>
                <w:spacing w:val="-13"/>
                <w:sz w:val="16"/>
              </w:rPr>
              <w:t> </w:t>
            </w:r>
            <w:r>
              <w:rPr>
                <w:sz w:val="16"/>
              </w:rPr>
              <w:t>organisations</w:t>
            </w:r>
          </w:p>
          <w:p>
            <w:pPr>
              <w:pStyle w:val="TableParagraph"/>
              <w:numPr>
                <w:ilvl w:val="0"/>
                <w:numId w:val="70"/>
              </w:numPr>
              <w:tabs>
                <w:tab w:pos="811" w:val="left" w:leader="none"/>
              </w:tabs>
              <w:spacing w:line="240" w:lineRule="auto" w:before="0" w:after="0"/>
              <w:ind w:left="811" w:right="309" w:hanging="360"/>
              <w:jc w:val="both"/>
              <w:rPr>
                <w:sz w:val="16"/>
              </w:rPr>
            </w:pPr>
            <w:r>
              <w:rPr>
                <w:sz w:val="16"/>
              </w:rPr>
              <w:t>Reported improvements in cultural competence among non-Indigenous service providers</w:t>
            </w:r>
          </w:p>
          <w:p>
            <w:pPr>
              <w:pStyle w:val="TableParagraph"/>
              <w:numPr>
                <w:ilvl w:val="0"/>
                <w:numId w:val="70"/>
              </w:numPr>
              <w:tabs>
                <w:tab w:pos="811" w:val="left" w:leader="none"/>
              </w:tabs>
              <w:spacing w:line="240" w:lineRule="auto" w:before="0" w:after="0"/>
              <w:ind w:left="811" w:right="247" w:hanging="360"/>
              <w:jc w:val="both"/>
              <w:rPr>
                <w:sz w:val="16"/>
              </w:rPr>
            </w:pPr>
            <w:r>
              <w:rPr>
                <w:sz w:val="16"/>
              </w:rPr>
              <w:t>The extent to which Aboriginal and Torres Strait Islander people have access to information and services enabling participation in the informed decision-making regarding their own</w:t>
            </w:r>
            <w:r>
              <w:rPr>
                <w:spacing w:val="-5"/>
                <w:sz w:val="16"/>
              </w:rPr>
              <w:t> </w:t>
            </w:r>
            <w:r>
              <w:rPr>
                <w:sz w:val="16"/>
              </w:rPr>
              <w:t>lives</w:t>
            </w:r>
          </w:p>
          <w:p>
            <w:pPr>
              <w:pStyle w:val="TableParagraph"/>
              <w:numPr>
                <w:ilvl w:val="0"/>
                <w:numId w:val="70"/>
              </w:numPr>
              <w:tabs>
                <w:tab w:pos="811" w:val="left" w:leader="none"/>
              </w:tabs>
              <w:spacing w:line="240" w:lineRule="auto" w:before="0" w:after="0"/>
              <w:ind w:left="811" w:right="61" w:hanging="360"/>
              <w:jc w:val="left"/>
              <w:rPr>
                <w:sz w:val="16"/>
              </w:rPr>
            </w:pPr>
            <w:r>
              <w:rPr>
                <w:sz w:val="16"/>
              </w:rPr>
              <w:t>The extent to which funding, procurement and commissioning mechanisms</w:t>
            </w:r>
            <w:r>
              <w:rPr>
                <w:spacing w:val="-23"/>
                <w:sz w:val="16"/>
              </w:rPr>
              <w:t> </w:t>
            </w:r>
            <w:r>
              <w:rPr>
                <w:sz w:val="16"/>
              </w:rPr>
              <w:t>across all Aboriginal and Torres Strait Islander peoples reflects trust and empowerment of the community-controlled</w:t>
            </w:r>
            <w:r>
              <w:rPr>
                <w:spacing w:val="-2"/>
                <w:sz w:val="16"/>
              </w:rPr>
              <w:t> </w:t>
            </w:r>
            <w:r>
              <w:rPr>
                <w:sz w:val="16"/>
              </w:rPr>
              <w:t>sector</w:t>
            </w:r>
          </w:p>
          <w:p>
            <w:pPr>
              <w:pStyle w:val="TableParagraph"/>
              <w:numPr>
                <w:ilvl w:val="0"/>
                <w:numId w:val="70"/>
              </w:numPr>
              <w:tabs>
                <w:tab w:pos="811" w:val="left" w:leader="none"/>
              </w:tabs>
              <w:spacing w:line="240" w:lineRule="auto" w:before="0" w:after="0"/>
              <w:ind w:left="811" w:right="58" w:hanging="360"/>
              <w:jc w:val="left"/>
              <w:rPr>
                <w:sz w:val="16"/>
              </w:rPr>
            </w:pPr>
            <w:r>
              <w:rPr>
                <w:sz w:val="16"/>
              </w:rPr>
              <w:t>Number, quality and independence of Aboriginal and Torres Strait Islander accountability mechanisms. This involves measurement on the effectiveness of accountability mechanisms at all levels to drive changes in behaviour and practice to align with </w:t>
            </w:r>
            <w:r>
              <w:rPr>
                <w:i/>
                <w:sz w:val="16"/>
              </w:rPr>
              <w:t>Our Way’s</w:t>
            </w:r>
            <w:r>
              <w:rPr>
                <w:i/>
                <w:spacing w:val="-4"/>
                <w:sz w:val="16"/>
              </w:rPr>
              <w:t> </w:t>
            </w:r>
            <w:r>
              <w:rPr>
                <w:sz w:val="16"/>
              </w:rPr>
              <w:t>principles</w:t>
            </w:r>
          </w:p>
        </w:tc>
        <w:tc>
          <w:tcPr>
            <w:tcW w:w="4714" w:type="dxa"/>
            <w:tcBorders>
              <w:top w:val="single" w:sz="4" w:space="0" w:color="000000"/>
              <w:bottom w:val="single" w:sz="4" w:space="0" w:color="000000"/>
            </w:tcBorders>
          </w:tcPr>
          <w:p>
            <w:pPr>
              <w:pStyle w:val="TableParagraph"/>
              <w:numPr>
                <w:ilvl w:val="0"/>
                <w:numId w:val="71"/>
              </w:numPr>
              <w:tabs>
                <w:tab w:pos="418" w:val="left" w:leader="none"/>
                <w:tab w:pos="419" w:val="left" w:leader="none"/>
              </w:tabs>
              <w:spacing w:line="240" w:lineRule="auto" w:before="57" w:after="0"/>
              <w:ind w:left="418" w:right="1032" w:hanging="360"/>
              <w:jc w:val="left"/>
              <w:rPr>
                <w:sz w:val="16"/>
              </w:rPr>
            </w:pPr>
            <w:r>
              <w:rPr>
                <w:sz w:val="16"/>
              </w:rPr>
              <w:t>Assessment of funding and procurement arrangements in</w:t>
            </w:r>
            <w:r>
              <w:rPr>
                <w:spacing w:val="-3"/>
                <w:sz w:val="16"/>
              </w:rPr>
              <w:t> </w:t>
            </w:r>
            <w:r>
              <w:rPr>
                <w:sz w:val="16"/>
              </w:rPr>
              <w:t>place</w:t>
            </w:r>
          </w:p>
          <w:p>
            <w:pPr>
              <w:pStyle w:val="TableParagraph"/>
              <w:numPr>
                <w:ilvl w:val="0"/>
                <w:numId w:val="71"/>
              </w:numPr>
              <w:tabs>
                <w:tab w:pos="418" w:val="left" w:leader="none"/>
                <w:tab w:pos="419" w:val="left" w:leader="none"/>
              </w:tabs>
              <w:spacing w:line="240" w:lineRule="auto" w:before="0" w:after="0"/>
              <w:ind w:left="418" w:right="160" w:hanging="360"/>
              <w:jc w:val="left"/>
              <w:rPr>
                <w:sz w:val="16"/>
              </w:rPr>
            </w:pPr>
            <w:r>
              <w:rPr>
                <w:sz w:val="16"/>
              </w:rPr>
              <w:t>Assessment of performance agreements of all service providers who deliver services to Aboriginal and Torres Strait Islander</w:t>
            </w:r>
            <w:r>
              <w:rPr>
                <w:spacing w:val="-2"/>
                <w:sz w:val="16"/>
              </w:rPr>
              <w:t> </w:t>
            </w:r>
            <w:r>
              <w:rPr>
                <w:sz w:val="16"/>
              </w:rPr>
              <w:t>children</w:t>
            </w:r>
          </w:p>
          <w:p>
            <w:pPr>
              <w:pStyle w:val="TableParagraph"/>
              <w:numPr>
                <w:ilvl w:val="0"/>
                <w:numId w:val="71"/>
              </w:numPr>
              <w:tabs>
                <w:tab w:pos="418" w:val="left" w:leader="none"/>
                <w:tab w:pos="419" w:val="left" w:leader="none"/>
              </w:tabs>
              <w:spacing w:line="240" w:lineRule="auto" w:before="0" w:after="0"/>
              <w:ind w:left="418" w:right="427" w:hanging="360"/>
              <w:jc w:val="left"/>
              <w:rPr>
                <w:sz w:val="16"/>
              </w:rPr>
            </w:pPr>
            <w:r>
              <w:rPr>
                <w:sz w:val="16"/>
              </w:rPr>
              <w:t>Surveys and consultations with government stakeholders, service providers, children, young people, families and community</w:t>
            </w:r>
            <w:r>
              <w:rPr>
                <w:spacing w:val="-4"/>
                <w:sz w:val="16"/>
              </w:rPr>
              <w:t> </w:t>
            </w:r>
            <w:r>
              <w:rPr>
                <w:sz w:val="16"/>
              </w:rPr>
              <w:t>members</w:t>
            </w:r>
          </w:p>
        </w:tc>
      </w:tr>
      <w:tr>
        <w:trPr>
          <w:trHeight w:val="1005" w:hRule="atLeast"/>
        </w:trPr>
        <w:tc>
          <w:tcPr>
            <w:tcW w:w="1767" w:type="dxa"/>
            <w:tcBorders>
              <w:top w:val="single" w:sz="4" w:space="0" w:color="000000"/>
              <w:bottom w:val="single" w:sz="4" w:space="0" w:color="000000"/>
            </w:tcBorders>
          </w:tcPr>
          <w:p>
            <w:pPr>
              <w:pStyle w:val="TableParagraph"/>
              <w:spacing w:line="295" w:lineRule="auto" w:before="103"/>
              <w:ind w:left="71" w:right="75"/>
              <w:rPr>
                <w:sz w:val="16"/>
              </w:rPr>
            </w:pPr>
            <w:r>
              <w:rPr>
                <w:sz w:val="16"/>
              </w:rPr>
              <w:t>4: Whole-of-system commitment</w:t>
            </w:r>
          </w:p>
        </w:tc>
        <w:tc>
          <w:tcPr>
            <w:tcW w:w="7495" w:type="dxa"/>
            <w:tcBorders>
              <w:top w:val="single" w:sz="4" w:space="0" w:color="000000"/>
              <w:bottom w:val="single" w:sz="4" w:space="0" w:color="000000"/>
            </w:tcBorders>
          </w:tcPr>
          <w:p>
            <w:pPr>
              <w:pStyle w:val="TableParagraph"/>
              <w:spacing w:before="57"/>
              <w:ind w:left="91"/>
              <w:rPr>
                <w:sz w:val="16"/>
              </w:rPr>
            </w:pPr>
            <w:r>
              <w:rPr>
                <w:sz w:val="16"/>
              </w:rPr>
              <w:t>Measurement</w:t>
            </w:r>
            <w:r>
              <w:rPr>
                <w:spacing w:val="-4"/>
                <w:sz w:val="16"/>
              </w:rPr>
              <w:t> </w:t>
            </w:r>
            <w:r>
              <w:rPr>
                <w:sz w:val="16"/>
              </w:rPr>
              <w:t>of:</w:t>
            </w:r>
          </w:p>
          <w:p>
            <w:pPr>
              <w:pStyle w:val="TableParagraph"/>
              <w:numPr>
                <w:ilvl w:val="0"/>
                <w:numId w:val="72"/>
              </w:numPr>
              <w:tabs>
                <w:tab w:pos="811" w:val="left" w:leader="none"/>
              </w:tabs>
              <w:spacing w:line="240" w:lineRule="auto" w:before="0" w:after="0"/>
              <w:ind w:left="811" w:right="0" w:hanging="360"/>
              <w:jc w:val="left"/>
              <w:rPr>
                <w:sz w:val="16"/>
              </w:rPr>
            </w:pPr>
            <w:r>
              <w:rPr>
                <w:sz w:val="16"/>
              </w:rPr>
              <w:t>Government agencies and service providers’ awareness of </w:t>
            </w:r>
            <w:r>
              <w:rPr>
                <w:i/>
                <w:sz w:val="16"/>
              </w:rPr>
              <w:t>Our Way</w:t>
            </w:r>
            <w:r>
              <w:rPr>
                <w:i/>
                <w:spacing w:val="-19"/>
                <w:sz w:val="16"/>
              </w:rPr>
              <w:t> </w:t>
            </w:r>
            <w:r>
              <w:rPr>
                <w:sz w:val="16"/>
              </w:rPr>
              <w:t>strategy</w:t>
            </w:r>
          </w:p>
          <w:p>
            <w:pPr>
              <w:pStyle w:val="TableParagraph"/>
              <w:numPr>
                <w:ilvl w:val="0"/>
                <w:numId w:val="72"/>
              </w:numPr>
              <w:tabs>
                <w:tab w:pos="811" w:val="left" w:leader="none"/>
              </w:tabs>
              <w:spacing w:line="240" w:lineRule="auto" w:before="0" w:after="0"/>
              <w:ind w:left="811" w:right="0" w:hanging="360"/>
              <w:jc w:val="left"/>
              <w:rPr>
                <w:sz w:val="16"/>
              </w:rPr>
            </w:pPr>
            <w:r>
              <w:rPr>
                <w:sz w:val="16"/>
              </w:rPr>
              <w:t>Government agencies and service providers’ demonstrating commitment to</w:t>
            </w:r>
            <w:r>
              <w:rPr>
                <w:spacing w:val="-14"/>
                <w:sz w:val="16"/>
              </w:rPr>
              <w:t> </w:t>
            </w:r>
            <w:r>
              <w:rPr>
                <w:sz w:val="16"/>
              </w:rPr>
              <w:t>the</w:t>
            </w:r>
          </w:p>
          <w:p>
            <w:pPr>
              <w:pStyle w:val="TableParagraph"/>
              <w:ind w:left="811"/>
              <w:rPr>
                <w:sz w:val="16"/>
              </w:rPr>
            </w:pPr>
            <w:r>
              <w:rPr>
                <w:i/>
                <w:sz w:val="16"/>
              </w:rPr>
              <w:t>Our Way </w:t>
            </w:r>
            <w:r>
              <w:rPr>
                <w:sz w:val="16"/>
              </w:rPr>
              <w:t>strategy</w:t>
            </w:r>
          </w:p>
        </w:tc>
        <w:tc>
          <w:tcPr>
            <w:tcW w:w="4714" w:type="dxa"/>
            <w:tcBorders>
              <w:top w:val="single" w:sz="4" w:space="0" w:color="000000"/>
              <w:bottom w:val="single" w:sz="4" w:space="0" w:color="000000"/>
            </w:tcBorders>
          </w:tcPr>
          <w:p>
            <w:pPr>
              <w:pStyle w:val="TableParagraph"/>
              <w:spacing w:line="295" w:lineRule="auto" w:before="103"/>
              <w:ind w:left="116" w:right="66"/>
              <w:rPr>
                <w:sz w:val="16"/>
              </w:rPr>
            </w:pPr>
            <w:r>
              <w:rPr>
                <w:sz w:val="16"/>
              </w:rPr>
              <w:t>Surveys and consultations with government stakeholders, service providers, children, young people, families and community members</w:t>
            </w:r>
          </w:p>
        </w:tc>
      </w:tr>
    </w:tbl>
    <w:p>
      <w:pPr>
        <w:spacing w:after="0" w:line="295" w:lineRule="auto"/>
        <w:rPr>
          <w:sz w:val="16"/>
        </w:rPr>
        <w:sectPr>
          <w:pgSz w:w="16840" w:h="11910" w:orient="landscape"/>
          <w:pgMar w:header="650" w:footer="420" w:top="1180" w:bottom="620" w:left="880" w:right="1320"/>
        </w:sectPr>
      </w:pPr>
    </w:p>
    <w:p>
      <w:pPr>
        <w:pStyle w:val="BodyText"/>
        <w:spacing w:before="4"/>
        <w:rPr>
          <w:sz w:val="21"/>
        </w:rPr>
      </w:pPr>
    </w:p>
    <w:p>
      <w:pPr>
        <w:pStyle w:val="BodyText"/>
        <w:spacing w:line="20" w:lineRule="exact"/>
        <w:ind w:left="555"/>
        <w:rPr>
          <w:sz w:val="2"/>
        </w:rPr>
      </w:pPr>
      <w:r>
        <w:rPr>
          <w:sz w:val="2"/>
        </w:rPr>
        <w:pict>
          <v:group style="width:698.05pt;height:.5pt;mso-position-horizontal-relative:char;mso-position-vertical-relative:line" coordorigin="0,0" coordsize="13961,10">
            <v:line style="position:absolute" from="0,5" to="1844,5" stroked="true" strokeweight=".48pt" strokecolor="#61b5e4">
              <v:stroke dashstyle="solid"/>
            </v:line>
            <v:rect style="position:absolute;left:1843;top:0;width:10;height:10" filled="true" fillcolor="#61b5e4" stroked="false">
              <v:fill type="solid"/>
            </v:rect>
            <v:line style="position:absolute" from="1853,5" to="9306,5" stroked="true" strokeweight=".48pt" strokecolor="#61b5e4">
              <v:stroke dashstyle="solid"/>
            </v:line>
            <v:rect style="position:absolute;left:9306;top:0;width:10;height:10" filled="true" fillcolor="#61b5e4" stroked="false">
              <v:fill type="solid"/>
            </v:rect>
            <v:line style="position:absolute" from="9316,5" to="13961,5" stroked="true" strokeweight=".48pt" strokecolor="#61b5e4">
              <v:stroke dashstyle="solid"/>
            </v:line>
          </v:group>
        </w:pict>
      </w:r>
      <w:r>
        <w:rPr>
          <w:sz w:val="2"/>
        </w:rPr>
      </w:r>
    </w:p>
    <w:p>
      <w:pPr>
        <w:pStyle w:val="ListParagraph"/>
        <w:numPr>
          <w:ilvl w:val="2"/>
          <w:numId w:val="56"/>
        </w:numPr>
        <w:tabs>
          <w:tab w:pos="3124" w:val="left" w:leader="none"/>
        </w:tabs>
        <w:spacing w:line="240" w:lineRule="auto" w:before="47" w:after="0"/>
        <w:ind w:left="3123" w:right="5018" w:hanging="360"/>
        <w:jc w:val="left"/>
        <w:rPr>
          <w:sz w:val="16"/>
        </w:rPr>
      </w:pPr>
      <w:r>
        <w:rPr>
          <w:sz w:val="16"/>
        </w:rPr>
        <w:t>Government agencies and service providers’ awareness of their collective roles and responsibilities to achieve positive outcomes for Aboriginal and Torres Strait Islander</w:t>
      </w:r>
      <w:r>
        <w:rPr>
          <w:spacing w:val="-1"/>
          <w:sz w:val="16"/>
        </w:rPr>
        <w:t> </w:t>
      </w:r>
      <w:r>
        <w:rPr>
          <w:sz w:val="16"/>
        </w:rPr>
        <w:t>children</w:t>
      </w:r>
    </w:p>
    <w:p>
      <w:pPr>
        <w:pStyle w:val="ListParagraph"/>
        <w:numPr>
          <w:ilvl w:val="2"/>
          <w:numId w:val="56"/>
        </w:numPr>
        <w:tabs>
          <w:tab w:pos="3124" w:val="left" w:leader="none"/>
        </w:tabs>
        <w:spacing w:line="240" w:lineRule="auto" w:before="0" w:after="0"/>
        <w:ind w:left="3123" w:right="4923" w:hanging="360"/>
        <w:jc w:val="left"/>
        <w:rPr>
          <w:sz w:val="16"/>
        </w:rPr>
      </w:pPr>
      <w:r>
        <w:rPr>
          <w:sz w:val="16"/>
        </w:rPr>
        <w:t>Reported improvements in collaboration among government agencies and service providers to deliver seamless and culturally appropriate supports for Aboriginal and Torres Strait Islander</w:t>
      </w:r>
      <w:r>
        <w:rPr>
          <w:spacing w:val="-2"/>
          <w:sz w:val="16"/>
        </w:rPr>
        <w:t> </w:t>
      </w:r>
      <w:r>
        <w:rPr>
          <w:sz w:val="16"/>
        </w:rPr>
        <w:t>peoples</w:t>
      </w:r>
    </w:p>
    <w:p>
      <w:pPr>
        <w:pStyle w:val="ListParagraph"/>
        <w:numPr>
          <w:ilvl w:val="2"/>
          <w:numId w:val="56"/>
        </w:numPr>
        <w:tabs>
          <w:tab w:pos="3124" w:val="left" w:leader="none"/>
        </w:tabs>
        <w:spacing w:line="240" w:lineRule="auto" w:before="0" w:after="0"/>
        <w:ind w:left="3123" w:right="5283" w:hanging="360"/>
        <w:jc w:val="left"/>
        <w:rPr>
          <w:sz w:val="16"/>
        </w:rPr>
      </w:pPr>
      <w:r>
        <w:rPr>
          <w:sz w:val="16"/>
        </w:rPr>
        <w:t>The prioritisation and delivery of early intervention initiatives across different agencies to reduce the over-representation of Aboriginal and Torres Strait Islander children in the child protection</w:t>
      </w:r>
      <w:r>
        <w:rPr>
          <w:spacing w:val="-8"/>
          <w:sz w:val="16"/>
        </w:rPr>
        <w:t> </w:t>
      </w:r>
      <w:r>
        <w:rPr>
          <w:sz w:val="16"/>
        </w:rPr>
        <w:t>system</w:t>
      </w:r>
    </w:p>
    <w:p>
      <w:pPr>
        <w:pStyle w:val="ListParagraph"/>
        <w:numPr>
          <w:ilvl w:val="2"/>
          <w:numId w:val="56"/>
        </w:numPr>
        <w:tabs>
          <w:tab w:pos="3124" w:val="left" w:leader="none"/>
        </w:tabs>
        <w:spacing w:line="240" w:lineRule="auto" w:before="0" w:after="57"/>
        <w:ind w:left="3123" w:right="4933" w:hanging="360"/>
        <w:jc w:val="left"/>
        <w:rPr>
          <w:sz w:val="16"/>
        </w:rPr>
      </w:pPr>
      <w:r>
        <w:rPr/>
        <w:pict>
          <v:group style="position:absolute;margin-left:49.919998pt;margin-top:43.352982pt;width:719.4pt;height:60.15pt;mso-position-horizontal-relative:page;mso-position-vertical-relative:paragraph;z-index:-258105344" coordorigin="998,867" coordsize="14388,1203">
            <v:rect style="position:absolute;left:998;top:927;width:14388;height:1143" filled="true" fillcolor="#dfeff8" stroked="false">
              <v:fill type="solid"/>
            </v:rect>
            <v:shape style="position:absolute;left:998;top:1044;width:14386;height:480" coordorigin="998,1045" coordsize="14386,480" path="m15384,1045l10729,1045,3267,1045,998,1045,998,1102,998,1467,998,1525,3267,1525,10729,1525,15384,1525,15384,1467,15384,1102,15384,1045e" filled="true" fillcolor="#ffffff" stroked="false">
              <v:path arrowok="t"/>
              <v:fill type="solid"/>
            </v:shape>
            <v:rect style="position:absolute;left:998;top:984;width:2269;height:60" filled="true" fillcolor="#61b5e4" stroked="false">
              <v:fill type="solid"/>
            </v:rect>
            <v:rect style="position:absolute;left:998;top:1044;width:2269;height:58" filled="true" fillcolor="#ffffff" stroked="false">
              <v:fill type="solid"/>
            </v:rect>
            <v:rect style="position:absolute;left:3266;top:1044;width:60;height:58" filled="true" fillcolor="#ffffff" stroked="false">
              <v:fill type="solid"/>
            </v:rect>
            <v:rect style="position:absolute;left:3266;top:984;width:60;height:60" filled="true" fillcolor="#61b5e4" stroked="false">
              <v:fill type="solid"/>
            </v:rect>
            <v:rect style="position:absolute;left:3326;top:984;width:7403;height:60" filled="true" fillcolor="#61b5e4" stroked="false">
              <v:fill type="solid"/>
            </v:rect>
            <v:rect style="position:absolute;left:3326;top:1044;width:7403;height:58" filled="true" fillcolor="#ffffff" stroked="false">
              <v:fill type="solid"/>
            </v:rect>
            <v:rect style="position:absolute;left:10729;top:1044;width:60;height:58" filled="true" fillcolor="#ffffff" stroked="false">
              <v:fill type="solid"/>
            </v:rect>
            <v:rect style="position:absolute;left:10729;top:984;width:60;height:60" filled="true" fillcolor="#61b5e4" stroked="false">
              <v:fill type="solid"/>
            </v:rect>
            <v:rect style="position:absolute;left:10789;top:984;width:4595;height:60" filled="true" fillcolor="#61b5e4" stroked="false">
              <v:fill type="solid"/>
            </v:rect>
            <v:shape style="position:absolute;left:998;top:1044;width:14386;height:478" coordorigin="998,1045" coordsize="14386,478" path="m15384,1465l10729,1465,3267,1465,998,1465,998,1522,3267,1522,10729,1522,15384,1522,15384,1465m15384,1045l10789,1045,10789,1102,15384,1102,15384,1045e" filled="true" fillcolor="#ffffff" stroked="false">
              <v:path arrowok="t"/>
              <v:fill type="solid"/>
            </v:shape>
            <v:line style="position:absolute" from="998,1527" to="3267,1527" stroked="true" strokeweight=".48pt" strokecolor="#000000">
              <v:stroke dashstyle="solid"/>
            </v:line>
            <v:rect style="position:absolute;left:3266;top:1522;width:10;height:10" filled="true" fillcolor="#000000" stroked="false">
              <v:fill type="solid"/>
            </v:rect>
            <v:line style="position:absolute" from="3276,1527" to="10729,1527" stroked="true" strokeweight=".48pt" strokecolor="#000000">
              <v:stroke dashstyle="solid"/>
            </v:line>
            <v:rect style="position:absolute;left:10729;top:1522;width:10;height:10" filled="true" fillcolor="#000000" stroked="false">
              <v:fill type="solid"/>
            </v:rect>
            <v:line style="position:absolute" from="10739,1527" to="15384,1527" stroked="true" strokeweight=".48pt" strokecolor="#000000">
              <v:stroke dashstyle="solid"/>
            </v:line>
            <v:rect style="position:absolute;left:998;top:867;width:14386;height:60" filled="true" fillcolor="#61b5e4" stroked="false">
              <v:fill type="solid"/>
            </v:rect>
            <w10:wrap type="none"/>
          </v:group>
        </w:pict>
      </w:r>
      <w:r>
        <w:rPr>
          <w:sz w:val="16"/>
        </w:rPr>
        <w:t>The degree of change in policy settings to enable whole-of-system changes (e.g., changes in legislative</w:t>
      </w: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7"/>
        <w:gridCol w:w="7575"/>
        <w:gridCol w:w="4414"/>
      </w:tblGrid>
      <w:tr>
        <w:trPr>
          <w:trHeight w:val="504" w:hRule="atLeast"/>
        </w:trPr>
        <w:tc>
          <w:tcPr>
            <w:tcW w:w="14416" w:type="dxa"/>
            <w:gridSpan w:val="3"/>
          </w:tcPr>
          <w:p>
            <w:pPr>
              <w:pStyle w:val="TableParagraph"/>
              <w:rPr>
                <w:rFonts w:ascii="Times New Roman"/>
                <w:sz w:val="16"/>
              </w:rPr>
            </w:pPr>
          </w:p>
        </w:tc>
      </w:tr>
      <w:tr>
        <w:trPr>
          <w:trHeight w:val="1113" w:hRule="atLeast"/>
        </w:trPr>
        <w:tc>
          <w:tcPr>
            <w:tcW w:w="14416" w:type="dxa"/>
            <w:gridSpan w:val="3"/>
            <w:tcBorders>
              <w:bottom w:val="single" w:sz="4" w:space="0" w:color="000000"/>
            </w:tcBorders>
          </w:tcPr>
          <w:p>
            <w:pPr>
              <w:pStyle w:val="TableParagraph"/>
              <w:tabs>
                <w:tab w:pos="2340" w:val="left" w:leader="none"/>
                <w:tab w:pos="9802" w:val="left" w:leader="none"/>
              </w:tabs>
              <w:spacing w:before="146"/>
              <w:ind w:left="71"/>
              <w:rPr>
                <w:b/>
                <w:sz w:val="16"/>
              </w:rPr>
            </w:pPr>
            <w:r>
              <w:rPr>
                <w:b/>
                <w:sz w:val="16"/>
              </w:rPr>
              <w:t>Evaluation</w:t>
            </w:r>
            <w:r>
              <w:rPr>
                <w:b/>
                <w:spacing w:val="-3"/>
                <w:sz w:val="16"/>
              </w:rPr>
              <w:t> </w:t>
            </w:r>
            <w:r>
              <w:rPr>
                <w:b/>
                <w:sz w:val="16"/>
              </w:rPr>
              <w:t>focus</w:t>
              <w:tab/>
              <w:t>Suggested</w:t>
            </w:r>
            <w:r>
              <w:rPr>
                <w:b/>
                <w:spacing w:val="-2"/>
                <w:sz w:val="16"/>
              </w:rPr>
              <w:t> </w:t>
            </w:r>
            <w:r>
              <w:rPr>
                <w:b/>
                <w:sz w:val="16"/>
              </w:rPr>
              <w:t>indictors</w:t>
              <w:tab/>
              <w:t>Suggested data</w:t>
            </w:r>
            <w:r>
              <w:rPr>
                <w:b/>
                <w:spacing w:val="-2"/>
                <w:sz w:val="16"/>
              </w:rPr>
              <w:t> </w:t>
            </w:r>
            <w:r>
              <w:rPr>
                <w:b/>
                <w:sz w:val="16"/>
              </w:rPr>
              <w:t>sources</w:t>
            </w:r>
          </w:p>
          <w:p>
            <w:pPr>
              <w:pStyle w:val="TableParagraph"/>
              <w:spacing w:before="1"/>
              <w:rPr>
                <w:sz w:val="24"/>
              </w:rPr>
            </w:pPr>
          </w:p>
          <w:p>
            <w:pPr>
              <w:pStyle w:val="TableParagraph"/>
              <w:ind w:left="71"/>
              <w:rPr>
                <w:b/>
                <w:sz w:val="16"/>
              </w:rPr>
            </w:pPr>
            <w:r>
              <w:rPr>
                <w:b/>
                <w:sz w:val="16"/>
              </w:rPr>
              <w:t>Domain 4: Outcome</w:t>
            </w:r>
          </w:p>
        </w:tc>
      </w:tr>
      <w:tr>
        <w:trPr>
          <w:trHeight w:val="671" w:hRule="atLeast"/>
        </w:trPr>
        <w:tc>
          <w:tcPr>
            <w:tcW w:w="14416" w:type="dxa"/>
            <w:gridSpan w:val="3"/>
            <w:tcBorders>
              <w:top w:val="single" w:sz="4" w:space="0" w:color="000000"/>
              <w:bottom w:val="single" w:sz="4" w:space="0" w:color="000000"/>
            </w:tcBorders>
            <w:shd w:val="clear" w:color="auto" w:fill="D0CECE"/>
          </w:tcPr>
          <w:p>
            <w:pPr>
              <w:pStyle w:val="TableParagraph"/>
              <w:spacing w:before="57"/>
              <w:ind w:left="71" w:right="2774"/>
              <w:rPr>
                <w:sz w:val="16"/>
              </w:rPr>
            </w:pPr>
            <w:r>
              <w:rPr>
                <w:b/>
                <w:sz w:val="16"/>
              </w:rPr>
              <w:t>Evaluation question 4: </w:t>
            </w:r>
            <w:r>
              <w:rPr>
                <w:sz w:val="16"/>
              </w:rPr>
              <w:t>To what extent has </w:t>
            </w:r>
            <w:r>
              <w:rPr>
                <w:i/>
                <w:sz w:val="16"/>
              </w:rPr>
              <w:t>Our Way </w:t>
            </w:r>
            <w:r>
              <w:rPr>
                <w:sz w:val="16"/>
              </w:rPr>
              <w:t>contributed to improved life outcomes for Aboriginal and Torres Strait Islander children? (Note: the domains are aligned with the Wellbeing Outcome Framework or WOF).</w:t>
            </w:r>
          </w:p>
        </w:tc>
      </w:tr>
      <w:tr>
        <w:trPr>
          <w:trHeight w:val="1670" w:hRule="atLeast"/>
        </w:trPr>
        <w:tc>
          <w:tcPr>
            <w:tcW w:w="2427" w:type="dxa"/>
            <w:tcBorders>
              <w:top w:val="single" w:sz="4" w:space="0" w:color="000000"/>
              <w:bottom w:val="single" w:sz="4" w:space="0" w:color="000000"/>
            </w:tcBorders>
          </w:tcPr>
          <w:p>
            <w:pPr>
              <w:pStyle w:val="TableParagraph"/>
              <w:spacing w:before="57"/>
              <w:ind w:left="71" w:right="243"/>
              <w:rPr>
                <w:sz w:val="16"/>
              </w:rPr>
            </w:pPr>
            <w:r>
              <w:rPr>
                <w:sz w:val="16"/>
              </w:rPr>
              <w:t>WOF domain: Culture and Connection (Our children are strong in culture)</w:t>
            </w:r>
          </w:p>
        </w:tc>
        <w:tc>
          <w:tcPr>
            <w:tcW w:w="7575" w:type="dxa"/>
            <w:tcBorders>
              <w:top w:val="single" w:sz="4" w:space="0" w:color="000000"/>
              <w:bottom w:val="single" w:sz="4" w:space="0" w:color="000000"/>
            </w:tcBorders>
          </w:tcPr>
          <w:p>
            <w:pPr>
              <w:pStyle w:val="TableParagraph"/>
              <w:numPr>
                <w:ilvl w:val="0"/>
                <w:numId w:val="73"/>
              </w:numPr>
              <w:tabs>
                <w:tab w:pos="615" w:val="left" w:leader="none"/>
              </w:tabs>
              <w:spacing w:line="240" w:lineRule="auto" w:before="57" w:after="0"/>
              <w:ind w:left="614" w:right="0" w:hanging="361"/>
              <w:jc w:val="left"/>
              <w:rPr>
                <w:sz w:val="16"/>
              </w:rPr>
            </w:pPr>
            <w:r>
              <w:rPr>
                <w:sz w:val="16"/>
              </w:rPr>
              <w:t>Levels of participation in language and cultural</w:t>
            </w:r>
            <w:r>
              <w:rPr>
                <w:spacing w:val="-5"/>
                <w:sz w:val="16"/>
              </w:rPr>
              <w:t> </w:t>
            </w:r>
            <w:r>
              <w:rPr>
                <w:sz w:val="16"/>
              </w:rPr>
              <w:t>practice</w:t>
            </w:r>
          </w:p>
          <w:p>
            <w:pPr>
              <w:pStyle w:val="TableParagraph"/>
              <w:numPr>
                <w:ilvl w:val="0"/>
                <w:numId w:val="73"/>
              </w:numPr>
              <w:tabs>
                <w:tab w:pos="615" w:val="left" w:leader="none"/>
              </w:tabs>
              <w:spacing w:line="240" w:lineRule="auto" w:before="0" w:after="0"/>
              <w:ind w:left="614" w:right="539" w:hanging="360"/>
              <w:jc w:val="left"/>
              <w:rPr>
                <w:sz w:val="16"/>
              </w:rPr>
            </w:pPr>
            <w:r>
              <w:rPr>
                <w:sz w:val="16"/>
              </w:rPr>
              <w:t>Level of knowledge of and pride in identity, e.g. connection between Elders and children and young people, transference of cultural</w:t>
            </w:r>
            <w:r>
              <w:rPr>
                <w:spacing w:val="-10"/>
                <w:sz w:val="16"/>
              </w:rPr>
              <w:t> </w:t>
            </w:r>
            <w:r>
              <w:rPr>
                <w:sz w:val="16"/>
              </w:rPr>
              <w:t>knowledge</w:t>
            </w:r>
          </w:p>
          <w:p>
            <w:pPr>
              <w:pStyle w:val="TableParagraph"/>
              <w:numPr>
                <w:ilvl w:val="0"/>
                <w:numId w:val="73"/>
              </w:numPr>
              <w:tabs>
                <w:tab w:pos="615" w:val="left" w:leader="none"/>
              </w:tabs>
              <w:spacing w:line="240" w:lineRule="auto" w:before="0" w:after="0"/>
              <w:ind w:left="614" w:right="0" w:hanging="361"/>
              <w:jc w:val="left"/>
              <w:rPr>
                <w:sz w:val="16"/>
              </w:rPr>
            </w:pPr>
            <w:r>
              <w:rPr>
                <w:sz w:val="16"/>
              </w:rPr>
              <w:t>Levels of access o and communal ownership of traditional lands, seas and</w:t>
            </w:r>
            <w:r>
              <w:rPr>
                <w:spacing w:val="-13"/>
                <w:sz w:val="16"/>
              </w:rPr>
              <w:t> </w:t>
            </w:r>
            <w:r>
              <w:rPr>
                <w:sz w:val="16"/>
              </w:rPr>
              <w:t>waters</w:t>
            </w:r>
          </w:p>
          <w:p>
            <w:pPr>
              <w:pStyle w:val="TableParagraph"/>
              <w:numPr>
                <w:ilvl w:val="0"/>
                <w:numId w:val="73"/>
              </w:numPr>
              <w:tabs>
                <w:tab w:pos="615" w:val="left" w:leader="none"/>
              </w:tabs>
              <w:spacing w:line="240" w:lineRule="auto" w:before="0" w:after="0"/>
              <w:ind w:left="614" w:right="315" w:hanging="360"/>
              <w:jc w:val="left"/>
              <w:rPr>
                <w:sz w:val="16"/>
              </w:rPr>
            </w:pPr>
            <w:r>
              <w:rPr>
                <w:sz w:val="16"/>
              </w:rPr>
              <w:t>Rates of discrimination based on race, e.g. both community racism and systemic institutional racism within the child safety, community services and justice</w:t>
            </w:r>
            <w:r>
              <w:rPr>
                <w:spacing w:val="-19"/>
                <w:sz w:val="16"/>
              </w:rPr>
              <w:t> </w:t>
            </w:r>
            <w:r>
              <w:rPr>
                <w:sz w:val="16"/>
              </w:rPr>
              <w:t>system</w:t>
            </w:r>
          </w:p>
          <w:p>
            <w:pPr>
              <w:pStyle w:val="TableParagraph"/>
              <w:numPr>
                <w:ilvl w:val="0"/>
                <w:numId w:val="73"/>
              </w:numPr>
              <w:tabs>
                <w:tab w:pos="615" w:val="left" w:leader="none"/>
              </w:tabs>
              <w:spacing w:line="240" w:lineRule="auto" w:before="0" w:after="0"/>
              <w:ind w:left="614" w:right="124" w:hanging="360"/>
              <w:jc w:val="left"/>
              <w:rPr>
                <w:sz w:val="16"/>
              </w:rPr>
            </w:pPr>
            <w:r>
              <w:rPr>
                <w:sz w:val="16"/>
              </w:rPr>
              <w:t>Level of recognition and celebration of Aboriginal and Torres Strait Islander cultures, including capacity to</w:t>
            </w:r>
            <w:r>
              <w:rPr>
                <w:spacing w:val="-2"/>
                <w:sz w:val="16"/>
              </w:rPr>
              <w:t> </w:t>
            </w:r>
            <w:r>
              <w:rPr>
                <w:sz w:val="16"/>
              </w:rPr>
              <w:t>participate.</w:t>
            </w:r>
          </w:p>
        </w:tc>
        <w:tc>
          <w:tcPr>
            <w:tcW w:w="4414" w:type="dxa"/>
            <w:tcBorders>
              <w:top w:val="single" w:sz="4" w:space="0" w:color="000000"/>
              <w:bottom w:val="single" w:sz="4" w:space="0" w:color="000000"/>
            </w:tcBorders>
          </w:tcPr>
          <w:p>
            <w:pPr>
              <w:pStyle w:val="TableParagraph"/>
              <w:numPr>
                <w:ilvl w:val="0"/>
                <w:numId w:val="74"/>
              </w:numPr>
              <w:tabs>
                <w:tab w:pos="487" w:val="left" w:leader="none"/>
                <w:tab w:pos="488" w:val="left" w:leader="none"/>
              </w:tabs>
              <w:spacing w:line="240" w:lineRule="auto" w:before="57" w:after="0"/>
              <w:ind w:left="488" w:right="384" w:hanging="361"/>
              <w:jc w:val="left"/>
              <w:rPr>
                <w:sz w:val="16"/>
              </w:rPr>
            </w:pPr>
            <w:r>
              <w:rPr>
                <w:sz w:val="16"/>
              </w:rPr>
              <w:t>Surveys and consultations with government stakeholders, service providers, children, young people, families and community members</w:t>
            </w:r>
          </w:p>
        </w:tc>
      </w:tr>
      <w:tr>
        <w:trPr>
          <w:trHeight w:val="1670" w:hRule="atLeast"/>
        </w:trPr>
        <w:tc>
          <w:tcPr>
            <w:tcW w:w="2427" w:type="dxa"/>
            <w:tcBorders>
              <w:top w:val="single" w:sz="4" w:space="0" w:color="000000"/>
              <w:bottom w:val="single" w:sz="4" w:space="0" w:color="000000"/>
            </w:tcBorders>
          </w:tcPr>
          <w:p>
            <w:pPr>
              <w:pStyle w:val="TableParagraph"/>
              <w:spacing w:before="57"/>
              <w:ind w:left="71" w:right="418"/>
              <w:rPr>
                <w:sz w:val="16"/>
              </w:rPr>
            </w:pPr>
            <w:r>
              <w:rPr>
                <w:sz w:val="16"/>
              </w:rPr>
              <w:t>WOF domain: Economic empowerment (Our children have access to every opportunity)</w:t>
            </w:r>
          </w:p>
        </w:tc>
        <w:tc>
          <w:tcPr>
            <w:tcW w:w="7575" w:type="dxa"/>
            <w:tcBorders>
              <w:top w:val="single" w:sz="4" w:space="0" w:color="000000"/>
              <w:bottom w:val="single" w:sz="4" w:space="0" w:color="000000"/>
            </w:tcBorders>
          </w:tcPr>
          <w:p>
            <w:pPr>
              <w:pStyle w:val="TableParagraph"/>
              <w:numPr>
                <w:ilvl w:val="0"/>
                <w:numId w:val="75"/>
              </w:numPr>
              <w:tabs>
                <w:tab w:pos="615" w:val="left" w:leader="none"/>
              </w:tabs>
              <w:spacing w:line="240" w:lineRule="auto" w:before="57" w:after="0"/>
              <w:ind w:left="614" w:right="0" w:hanging="361"/>
              <w:jc w:val="left"/>
              <w:rPr>
                <w:sz w:val="16"/>
              </w:rPr>
            </w:pPr>
            <w:r>
              <w:rPr>
                <w:sz w:val="16"/>
              </w:rPr>
              <w:t>Level of youth and parental/carer job</w:t>
            </w:r>
            <w:r>
              <w:rPr>
                <w:spacing w:val="-7"/>
                <w:sz w:val="16"/>
              </w:rPr>
              <w:t> </w:t>
            </w:r>
            <w:r>
              <w:rPr>
                <w:sz w:val="16"/>
              </w:rPr>
              <w:t>security</w:t>
            </w:r>
          </w:p>
          <w:p>
            <w:pPr>
              <w:pStyle w:val="TableParagraph"/>
              <w:numPr>
                <w:ilvl w:val="0"/>
                <w:numId w:val="75"/>
              </w:numPr>
              <w:tabs>
                <w:tab w:pos="615" w:val="left" w:leader="none"/>
              </w:tabs>
              <w:spacing w:line="240" w:lineRule="auto" w:before="0" w:after="0"/>
              <w:ind w:left="614" w:right="0" w:hanging="361"/>
              <w:jc w:val="left"/>
              <w:rPr>
                <w:sz w:val="16"/>
              </w:rPr>
            </w:pPr>
            <w:r>
              <w:rPr>
                <w:sz w:val="16"/>
              </w:rPr>
              <w:t>Level of parental/carer</w:t>
            </w:r>
            <w:r>
              <w:rPr>
                <w:spacing w:val="-5"/>
                <w:sz w:val="16"/>
              </w:rPr>
              <w:t> </w:t>
            </w:r>
            <w:r>
              <w:rPr>
                <w:sz w:val="16"/>
              </w:rPr>
              <w:t>employment</w:t>
            </w:r>
          </w:p>
          <w:p>
            <w:pPr>
              <w:pStyle w:val="TableParagraph"/>
              <w:numPr>
                <w:ilvl w:val="0"/>
                <w:numId w:val="75"/>
              </w:numPr>
              <w:tabs>
                <w:tab w:pos="615" w:val="left" w:leader="none"/>
              </w:tabs>
              <w:spacing w:line="240" w:lineRule="auto" w:before="0" w:after="0"/>
              <w:ind w:left="614" w:right="167" w:hanging="360"/>
              <w:jc w:val="left"/>
              <w:rPr>
                <w:sz w:val="16"/>
              </w:rPr>
            </w:pPr>
            <w:r>
              <w:rPr>
                <w:sz w:val="16"/>
              </w:rPr>
              <w:t>Rates of youth in employment/training/education, including youth awareness of and interactions with Indigenous-owned</w:t>
            </w:r>
            <w:r>
              <w:rPr>
                <w:spacing w:val="-1"/>
                <w:sz w:val="16"/>
              </w:rPr>
              <w:t> </w:t>
            </w:r>
            <w:r>
              <w:rPr>
                <w:sz w:val="16"/>
              </w:rPr>
              <w:t>enterprises</w:t>
            </w:r>
          </w:p>
          <w:p>
            <w:pPr>
              <w:pStyle w:val="TableParagraph"/>
              <w:numPr>
                <w:ilvl w:val="0"/>
                <w:numId w:val="75"/>
              </w:numPr>
              <w:tabs>
                <w:tab w:pos="615" w:val="left" w:leader="none"/>
              </w:tabs>
              <w:spacing w:line="240" w:lineRule="auto" w:before="0" w:after="0"/>
              <w:ind w:left="614" w:right="0" w:hanging="361"/>
              <w:jc w:val="left"/>
              <w:rPr>
                <w:sz w:val="16"/>
              </w:rPr>
            </w:pPr>
            <w:r>
              <w:rPr>
                <w:sz w:val="16"/>
              </w:rPr>
              <w:t>Household financial</w:t>
            </w:r>
            <w:r>
              <w:rPr>
                <w:spacing w:val="-2"/>
                <w:sz w:val="16"/>
              </w:rPr>
              <w:t> </w:t>
            </w:r>
            <w:r>
              <w:rPr>
                <w:sz w:val="16"/>
              </w:rPr>
              <w:t>wealth</w:t>
            </w:r>
          </w:p>
          <w:p>
            <w:pPr>
              <w:pStyle w:val="TableParagraph"/>
              <w:numPr>
                <w:ilvl w:val="0"/>
                <w:numId w:val="75"/>
              </w:numPr>
              <w:tabs>
                <w:tab w:pos="615" w:val="left" w:leader="none"/>
              </w:tabs>
              <w:spacing w:line="240" w:lineRule="auto" w:before="0" w:after="0"/>
              <w:ind w:left="614" w:right="0" w:hanging="361"/>
              <w:jc w:val="left"/>
              <w:rPr>
                <w:sz w:val="16"/>
              </w:rPr>
            </w:pPr>
            <w:r>
              <w:rPr>
                <w:sz w:val="16"/>
              </w:rPr>
              <w:t>Household net adjusted disposable</w:t>
            </w:r>
            <w:r>
              <w:rPr>
                <w:spacing w:val="-2"/>
                <w:sz w:val="16"/>
              </w:rPr>
              <w:t> </w:t>
            </w:r>
            <w:r>
              <w:rPr>
                <w:sz w:val="16"/>
              </w:rPr>
              <w:t>income</w:t>
            </w:r>
          </w:p>
        </w:tc>
        <w:tc>
          <w:tcPr>
            <w:tcW w:w="4414" w:type="dxa"/>
            <w:tcBorders>
              <w:top w:val="single" w:sz="4" w:space="0" w:color="000000"/>
              <w:bottom w:val="single" w:sz="4" w:space="0" w:color="000000"/>
            </w:tcBorders>
          </w:tcPr>
          <w:p>
            <w:pPr>
              <w:pStyle w:val="TableParagraph"/>
              <w:numPr>
                <w:ilvl w:val="0"/>
                <w:numId w:val="76"/>
              </w:numPr>
              <w:tabs>
                <w:tab w:pos="487" w:val="left" w:leader="none"/>
                <w:tab w:pos="488" w:val="left" w:leader="none"/>
              </w:tabs>
              <w:spacing w:line="240" w:lineRule="auto" w:before="57" w:after="0"/>
              <w:ind w:left="488" w:right="384" w:hanging="361"/>
              <w:jc w:val="left"/>
              <w:rPr>
                <w:sz w:val="16"/>
              </w:rPr>
            </w:pPr>
            <w:r>
              <w:rPr>
                <w:sz w:val="16"/>
              </w:rPr>
              <w:t>Surveys and consultations with government stakeholders, service providers, children, young people, families and community members</w:t>
            </w:r>
          </w:p>
          <w:p>
            <w:pPr>
              <w:pStyle w:val="TableParagraph"/>
              <w:numPr>
                <w:ilvl w:val="0"/>
                <w:numId w:val="76"/>
              </w:numPr>
              <w:tabs>
                <w:tab w:pos="487" w:val="left" w:leader="none"/>
                <w:tab w:pos="488" w:val="left" w:leader="none"/>
              </w:tabs>
              <w:spacing w:line="194" w:lineRule="exact" w:before="0" w:after="0"/>
              <w:ind w:left="488" w:right="0" w:hanging="361"/>
              <w:jc w:val="left"/>
              <w:rPr>
                <w:sz w:val="16"/>
              </w:rPr>
            </w:pPr>
            <w:r>
              <w:rPr>
                <w:sz w:val="16"/>
              </w:rPr>
              <w:t>Closing the</w:t>
            </w:r>
            <w:r>
              <w:rPr>
                <w:spacing w:val="-2"/>
                <w:sz w:val="16"/>
              </w:rPr>
              <w:t> </w:t>
            </w:r>
            <w:r>
              <w:rPr>
                <w:sz w:val="16"/>
              </w:rPr>
              <w:t>Gap</w:t>
            </w:r>
          </w:p>
          <w:p>
            <w:pPr>
              <w:pStyle w:val="TableParagraph"/>
              <w:numPr>
                <w:ilvl w:val="0"/>
                <w:numId w:val="76"/>
              </w:numPr>
              <w:tabs>
                <w:tab w:pos="487" w:val="left" w:leader="none"/>
                <w:tab w:pos="488" w:val="left" w:leader="none"/>
              </w:tabs>
              <w:spacing w:line="195" w:lineRule="exact" w:before="0" w:after="0"/>
              <w:ind w:left="488" w:right="0" w:hanging="361"/>
              <w:jc w:val="left"/>
              <w:rPr>
                <w:sz w:val="16"/>
              </w:rPr>
            </w:pPr>
            <w:r>
              <w:rPr>
                <w:sz w:val="16"/>
              </w:rPr>
              <w:t>Longitudinal Study of Indigenous</w:t>
            </w:r>
            <w:r>
              <w:rPr>
                <w:spacing w:val="-3"/>
                <w:sz w:val="16"/>
              </w:rPr>
              <w:t> </w:t>
            </w:r>
            <w:r>
              <w:rPr>
                <w:sz w:val="16"/>
              </w:rPr>
              <w:t>Children</w:t>
            </w:r>
          </w:p>
          <w:p>
            <w:pPr>
              <w:pStyle w:val="TableParagraph"/>
              <w:numPr>
                <w:ilvl w:val="0"/>
                <w:numId w:val="76"/>
              </w:numPr>
              <w:tabs>
                <w:tab w:pos="487" w:val="left" w:leader="none"/>
                <w:tab w:pos="488" w:val="left" w:leader="none"/>
              </w:tabs>
              <w:spacing w:line="194" w:lineRule="exact" w:before="0" w:after="0"/>
              <w:ind w:left="488" w:right="0" w:hanging="361"/>
              <w:jc w:val="left"/>
              <w:rPr>
                <w:sz w:val="16"/>
              </w:rPr>
            </w:pPr>
            <w:r>
              <w:rPr>
                <w:sz w:val="16"/>
              </w:rPr>
              <w:t>Household Income and Wealth,</w:t>
            </w:r>
            <w:r>
              <w:rPr>
                <w:spacing w:val="-3"/>
                <w:sz w:val="16"/>
              </w:rPr>
              <w:t> </w:t>
            </w:r>
            <w:r>
              <w:rPr>
                <w:sz w:val="16"/>
              </w:rPr>
              <w:t>Australia</w:t>
            </w:r>
          </w:p>
          <w:p>
            <w:pPr>
              <w:pStyle w:val="TableParagraph"/>
              <w:numPr>
                <w:ilvl w:val="0"/>
                <w:numId w:val="76"/>
              </w:numPr>
              <w:tabs>
                <w:tab w:pos="487" w:val="left" w:leader="none"/>
                <w:tab w:pos="488" w:val="left" w:leader="none"/>
              </w:tabs>
              <w:spacing w:line="195" w:lineRule="exact" w:before="0" w:after="0"/>
              <w:ind w:left="488" w:right="0" w:hanging="361"/>
              <w:jc w:val="left"/>
              <w:rPr>
                <w:sz w:val="16"/>
              </w:rPr>
            </w:pPr>
            <w:r>
              <w:rPr>
                <w:sz w:val="16"/>
              </w:rPr>
              <w:t>ABS Census of Population and</w:t>
            </w:r>
            <w:r>
              <w:rPr>
                <w:spacing w:val="-6"/>
                <w:sz w:val="16"/>
              </w:rPr>
              <w:t> </w:t>
            </w:r>
            <w:r>
              <w:rPr>
                <w:sz w:val="16"/>
              </w:rPr>
              <w:t>Housing</w:t>
            </w:r>
          </w:p>
        </w:tc>
      </w:tr>
      <w:tr>
        <w:trPr>
          <w:trHeight w:val="892" w:hRule="atLeast"/>
        </w:trPr>
        <w:tc>
          <w:tcPr>
            <w:tcW w:w="2427" w:type="dxa"/>
            <w:tcBorders>
              <w:top w:val="single" w:sz="4" w:space="0" w:color="000000"/>
              <w:bottom w:val="single" w:sz="4" w:space="0" w:color="000000"/>
            </w:tcBorders>
          </w:tcPr>
          <w:p>
            <w:pPr>
              <w:pStyle w:val="TableParagraph"/>
              <w:spacing w:before="57"/>
              <w:ind w:left="71" w:right="236"/>
              <w:rPr>
                <w:sz w:val="16"/>
              </w:rPr>
            </w:pPr>
            <w:r>
              <w:rPr>
                <w:sz w:val="16"/>
              </w:rPr>
              <w:t>WOF domain: Health (Our children are strong and healthy)</w:t>
            </w:r>
          </w:p>
        </w:tc>
        <w:tc>
          <w:tcPr>
            <w:tcW w:w="7575" w:type="dxa"/>
            <w:tcBorders>
              <w:top w:val="single" w:sz="4" w:space="0" w:color="000000"/>
              <w:bottom w:val="single" w:sz="4" w:space="0" w:color="000000"/>
            </w:tcBorders>
          </w:tcPr>
          <w:p>
            <w:pPr>
              <w:pStyle w:val="TableParagraph"/>
              <w:numPr>
                <w:ilvl w:val="0"/>
                <w:numId w:val="77"/>
              </w:numPr>
              <w:tabs>
                <w:tab w:pos="615" w:val="left" w:leader="none"/>
              </w:tabs>
              <w:spacing w:line="240" w:lineRule="auto" w:before="57" w:after="0"/>
              <w:ind w:left="614" w:right="0" w:hanging="361"/>
              <w:jc w:val="left"/>
              <w:rPr>
                <w:sz w:val="16"/>
              </w:rPr>
            </w:pPr>
            <w:r>
              <w:rPr>
                <w:sz w:val="16"/>
              </w:rPr>
              <w:t>Life expectancy</w:t>
            </w:r>
          </w:p>
          <w:p>
            <w:pPr>
              <w:pStyle w:val="TableParagraph"/>
              <w:numPr>
                <w:ilvl w:val="0"/>
                <w:numId w:val="77"/>
              </w:numPr>
              <w:tabs>
                <w:tab w:pos="615" w:val="left" w:leader="none"/>
              </w:tabs>
              <w:spacing w:line="240" w:lineRule="auto" w:before="0" w:after="0"/>
              <w:ind w:left="614" w:right="0" w:hanging="361"/>
              <w:jc w:val="left"/>
              <w:rPr>
                <w:sz w:val="16"/>
              </w:rPr>
            </w:pPr>
            <w:r>
              <w:rPr>
                <w:sz w:val="16"/>
              </w:rPr>
              <w:t>Birthweights</w:t>
            </w:r>
          </w:p>
          <w:p>
            <w:pPr>
              <w:pStyle w:val="TableParagraph"/>
              <w:numPr>
                <w:ilvl w:val="0"/>
                <w:numId w:val="77"/>
              </w:numPr>
              <w:tabs>
                <w:tab w:pos="615" w:val="left" w:leader="none"/>
              </w:tabs>
              <w:spacing w:line="240" w:lineRule="auto" w:before="0" w:after="0"/>
              <w:ind w:left="614" w:right="0" w:hanging="361"/>
              <w:jc w:val="left"/>
              <w:rPr>
                <w:sz w:val="16"/>
              </w:rPr>
            </w:pPr>
            <w:r>
              <w:rPr>
                <w:sz w:val="16"/>
              </w:rPr>
              <w:t>Immunisation</w:t>
            </w:r>
            <w:r>
              <w:rPr>
                <w:spacing w:val="-1"/>
                <w:sz w:val="16"/>
              </w:rPr>
              <w:t> </w:t>
            </w:r>
            <w:r>
              <w:rPr>
                <w:sz w:val="16"/>
              </w:rPr>
              <w:t>rates</w:t>
            </w:r>
          </w:p>
        </w:tc>
        <w:tc>
          <w:tcPr>
            <w:tcW w:w="4414" w:type="dxa"/>
            <w:tcBorders>
              <w:top w:val="single" w:sz="4" w:space="0" w:color="000000"/>
              <w:bottom w:val="single" w:sz="4" w:space="0" w:color="000000"/>
            </w:tcBorders>
          </w:tcPr>
          <w:p>
            <w:pPr>
              <w:pStyle w:val="TableParagraph"/>
              <w:numPr>
                <w:ilvl w:val="0"/>
                <w:numId w:val="78"/>
              </w:numPr>
              <w:tabs>
                <w:tab w:pos="487" w:val="left" w:leader="none"/>
                <w:tab w:pos="488" w:val="left" w:leader="none"/>
              </w:tabs>
              <w:spacing w:line="240" w:lineRule="auto" w:before="57" w:after="0"/>
              <w:ind w:left="488" w:right="384" w:hanging="361"/>
              <w:jc w:val="left"/>
              <w:rPr>
                <w:sz w:val="16"/>
              </w:rPr>
            </w:pPr>
            <w:r>
              <w:rPr>
                <w:sz w:val="16"/>
              </w:rPr>
              <w:t>Surveys and consultations with government stakeholders, service providers, children, young people, families and community members</w:t>
            </w:r>
          </w:p>
        </w:tc>
      </w:tr>
    </w:tbl>
    <w:p>
      <w:pPr>
        <w:spacing w:after="0" w:line="240" w:lineRule="auto"/>
        <w:jc w:val="left"/>
        <w:rPr>
          <w:sz w:val="16"/>
        </w:rPr>
        <w:sectPr>
          <w:pgSz w:w="16840" w:h="11910" w:orient="landscape"/>
          <w:pgMar w:header="650" w:footer="420" w:top="1180" w:bottom="620" w:left="880" w:right="1320"/>
        </w:sectPr>
      </w:pPr>
    </w:p>
    <w:p>
      <w:pPr>
        <w:pStyle w:val="BodyText"/>
        <w:spacing w:before="4"/>
        <w:rPr>
          <w:sz w:val="21"/>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8"/>
        <w:gridCol w:w="7621"/>
        <w:gridCol w:w="4331"/>
      </w:tblGrid>
      <w:tr>
        <w:trPr>
          <w:trHeight w:val="1086" w:hRule="atLeast"/>
        </w:trPr>
        <w:tc>
          <w:tcPr>
            <w:tcW w:w="2448" w:type="dxa"/>
            <w:tcBorders>
              <w:top w:val="single" w:sz="4" w:space="0" w:color="61B5E4"/>
              <w:bottom w:val="single" w:sz="4" w:space="0" w:color="000000"/>
            </w:tcBorders>
          </w:tcPr>
          <w:p>
            <w:pPr>
              <w:pStyle w:val="TableParagraph"/>
              <w:rPr>
                <w:rFonts w:ascii="Times New Roman"/>
                <w:sz w:val="16"/>
              </w:rPr>
            </w:pPr>
          </w:p>
        </w:tc>
        <w:tc>
          <w:tcPr>
            <w:tcW w:w="7621" w:type="dxa"/>
            <w:tcBorders>
              <w:top w:val="single" w:sz="4" w:space="0" w:color="61B5E4"/>
              <w:bottom w:val="single" w:sz="4" w:space="0" w:color="000000"/>
            </w:tcBorders>
          </w:tcPr>
          <w:p>
            <w:pPr>
              <w:pStyle w:val="TableParagraph"/>
              <w:numPr>
                <w:ilvl w:val="0"/>
                <w:numId w:val="79"/>
              </w:numPr>
              <w:tabs>
                <w:tab w:pos="594" w:val="left" w:leader="none"/>
              </w:tabs>
              <w:spacing w:line="240" w:lineRule="auto" w:before="57" w:after="0"/>
              <w:ind w:left="593" w:right="298" w:hanging="360"/>
              <w:jc w:val="left"/>
              <w:rPr>
                <w:sz w:val="16"/>
              </w:rPr>
            </w:pPr>
            <w:r>
              <w:rPr>
                <w:sz w:val="16"/>
              </w:rPr>
              <w:t>Healthy physical development, e.g. obesity and chronic conditions such as diabetes and eye</w:t>
            </w:r>
            <w:r>
              <w:rPr>
                <w:spacing w:val="-1"/>
                <w:sz w:val="16"/>
              </w:rPr>
              <w:t> </w:t>
            </w:r>
            <w:r>
              <w:rPr>
                <w:sz w:val="16"/>
              </w:rPr>
              <w:t>problems</w:t>
            </w:r>
          </w:p>
          <w:p>
            <w:pPr>
              <w:pStyle w:val="TableParagraph"/>
              <w:numPr>
                <w:ilvl w:val="0"/>
                <w:numId w:val="79"/>
              </w:numPr>
              <w:tabs>
                <w:tab w:pos="594" w:val="left" w:leader="none"/>
              </w:tabs>
              <w:spacing w:line="240" w:lineRule="auto" w:before="0" w:after="0"/>
              <w:ind w:left="593" w:right="0" w:hanging="361"/>
              <w:jc w:val="left"/>
              <w:rPr>
                <w:sz w:val="16"/>
              </w:rPr>
            </w:pPr>
            <w:r>
              <w:rPr>
                <w:sz w:val="16"/>
              </w:rPr>
              <w:t>Dental health</w:t>
            </w:r>
          </w:p>
          <w:p>
            <w:pPr>
              <w:pStyle w:val="TableParagraph"/>
              <w:numPr>
                <w:ilvl w:val="0"/>
                <w:numId w:val="79"/>
              </w:numPr>
              <w:tabs>
                <w:tab w:pos="594" w:val="left" w:leader="none"/>
              </w:tabs>
              <w:spacing w:line="240" w:lineRule="auto" w:before="0" w:after="0"/>
              <w:ind w:left="593" w:right="0" w:hanging="361"/>
              <w:jc w:val="left"/>
              <w:rPr>
                <w:sz w:val="16"/>
              </w:rPr>
            </w:pPr>
            <w:r>
              <w:rPr>
                <w:sz w:val="16"/>
              </w:rPr>
              <w:t>Maternal health</w:t>
            </w:r>
          </w:p>
          <w:p>
            <w:pPr>
              <w:pStyle w:val="TableParagraph"/>
              <w:numPr>
                <w:ilvl w:val="0"/>
                <w:numId w:val="79"/>
              </w:numPr>
              <w:tabs>
                <w:tab w:pos="594" w:val="left" w:leader="none"/>
              </w:tabs>
              <w:spacing w:line="240" w:lineRule="auto" w:before="0" w:after="0"/>
              <w:ind w:left="593" w:right="0" w:hanging="361"/>
              <w:jc w:val="left"/>
              <w:rPr>
                <w:sz w:val="16"/>
              </w:rPr>
            </w:pPr>
            <w:r>
              <w:rPr>
                <w:sz w:val="16"/>
              </w:rPr>
              <w:t>Parental mental</w:t>
            </w:r>
            <w:r>
              <w:rPr>
                <w:spacing w:val="-1"/>
                <w:sz w:val="16"/>
              </w:rPr>
              <w:t> </w:t>
            </w:r>
            <w:r>
              <w:rPr>
                <w:sz w:val="16"/>
              </w:rPr>
              <w:t>health</w:t>
            </w:r>
          </w:p>
        </w:tc>
        <w:tc>
          <w:tcPr>
            <w:tcW w:w="4331" w:type="dxa"/>
            <w:tcBorders>
              <w:top w:val="single" w:sz="4" w:space="0" w:color="61B5E4"/>
              <w:bottom w:val="single" w:sz="4" w:space="0" w:color="000000"/>
            </w:tcBorders>
          </w:tcPr>
          <w:p>
            <w:pPr>
              <w:pStyle w:val="TableParagraph"/>
              <w:numPr>
                <w:ilvl w:val="0"/>
                <w:numId w:val="80"/>
              </w:numPr>
              <w:tabs>
                <w:tab w:pos="420" w:val="left" w:leader="none"/>
                <w:tab w:pos="421" w:val="left" w:leader="none"/>
              </w:tabs>
              <w:spacing w:line="195" w:lineRule="exact" w:before="57" w:after="0"/>
              <w:ind w:left="421" w:right="0" w:hanging="361"/>
              <w:jc w:val="left"/>
              <w:rPr>
                <w:sz w:val="16"/>
              </w:rPr>
            </w:pPr>
            <w:r>
              <w:rPr>
                <w:sz w:val="16"/>
              </w:rPr>
              <w:t>Closing the</w:t>
            </w:r>
            <w:r>
              <w:rPr>
                <w:spacing w:val="-2"/>
                <w:sz w:val="16"/>
              </w:rPr>
              <w:t> </w:t>
            </w:r>
            <w:r>
              <w:rPr>
                <w:sz w:val="16"/>
              </w:rPr>
              <w:t>Gap</w:t>
            </w:r>
          </w:p>
          <w:p>
            <w:pPr>
              <w:pStyle w:val="TableParagraph"/>
              <w:numPr>
                <w:ilvl w:val="0"/>
                <w:numId w:val="80"/>
              </w:numPr>
              <w:tabs>
                <w:tab w:pos="420" w:val="left" w:leader="none"/>
                <w:tab w:pos="421" w:val="left" w:leader="none"/>
              </w:tabs>
              <w:spacing w:line="195" w:lineRule="exact" w:before="0" w:after="0"/>
              <w:ind w:left="421" w:right="0" w:hanging="361"/>
              <w:jc w:val="left"/>
              <w:rPr>
                <w:sz w:val="16"/>
              </w:rPr>
            </w:pPr>
            <w:r>
              <w:rPr>
                <w:sz w:val="16"/>
              </w:rPr>
              <w:t>AIHW’s Children’s Health</w:t>
            </w:r>
            <w:r>
              <w:rPr>
                <w:spacing w:val="-4"/>
                <w:sz w:val="16"/>
              </w:rPr>
              <w:t> </w:t>
            </w:r>
            <w:r>
              <w:rPr>
                <w:sz w:val="16"/>
              </w:rPr>
              <w:t>indicators</w:t>
            </w:r>
          </w:p>
        </w:tc>
      </w:tr>
      <w:tr>
        <w:trPr>
          <w:trHeight w:val="2253" w:hRule="atLeast"/>
        </w:trPr>
        <w:tc>
          <w:tcPr>
            <w:tcW w:w="2448" w:type="dxa"/>
            <w:tcBorders>
              <w:top w:val="single" w:sz="4" w:space="0" w:color="000000"/>
              <w:bottom w:val="single" w:sz="4" w:space="0" w:color="000000"/>
            </w:tcBorders>
          </w:tcPr>
          <w:p>
            <w:pPr>
              <w:pStyle w:val="TableParagraph"/>
              <w:spacing w:before="57"/>
              <w:ind w:left="71" w:right="458"/>
              <w:rPr>
                <w:sz w:val="16"/>
              </w:rPr>
            </w:pPr>
            <w:r>
              <w:rPr>
                <w:sz w:val="16"/>
              </w:rPr>
              <w:t>WOF domain: Mental Health and Emotional Wellbeing (Our children are hopeful)</w:t>
            </w:r>
          </w:p>
        </w:tc>
        <w:tc>
          <w:tcPr>
            <w:tcW w:w="7621" w:type="dxa"/>
            <w:tcBorders>
              <w:top w:val="single" w:sz="4" w:space="0" w:color="000000"/>
              <w:bottom w:val="single" w:sz="4" w:space="0" w:color="000000"/>
            </w:tcBorders>
          </w:tcPr>
          <w:p>
            <w:pPr>
              <w:pStyle w:val="TableParagraph"/>
              <w:numPr>
                <w:ilvl w:val="0"/>
                <w:numId w:val="81"/>
              </w:numPr>
              <w:tabs>
                <w:tab w:pos="594" w:val="left" w:leader="none"/>
              </w:tabs>
              <w:spacing w:line="240" w:lineRule="auto" w:before="57" w:after="0"/>
              <w:ind w:left="593" w:right="0" w:hanging="361"/>
              <w:jc w:val="left"/>
              <w:rPr>
                <w:sz w:val="16"/>
              </w:rPr>
            </w:pPr>
            <w:r>
              <w:rPr>
                <w:sz w:val="16"/>
              </w:rPr>
              <w:t>Level of parental</w:t>
            </w:r>
            <w:r>
              <w:rPr>
                <w:spacing w:val="-4"/>
                <w:sz w:val="16"/>
              </w:rPr>
              <w:t> </w:t>
            </w:r>
            <w:r>
              <w:rPr>
                <w:sz w:val="16"/>
              </w:rPr>
              <w:t>wellbeing</w:t>
            </w:r>
          </w:p>
          <w:p>
            <w:pPr>
              <w:pStyle w:val="TableParagraph"/>
              <w:numPr>
                <w:ilvl w:val="0"/>
                <w:numId w:val="81"/>
              </w:numPr>
              <w:tabs>
                <w:tab w:pos="594" w:val="left" w:leader="none"/>
              </w:tabs>
              <w:spacing w:line="240" w:lineRule="auto" w:before="0" w:after="0"/>
              <w:ind w:left="593" w:right="0" w:hanging="361"/>
              <w:jc w:val="left"/>
              <w:rPr>
                <w:sz w:val="16"/>
              </w:rPr>
            </w:pPr>
            <w:r>
              <w:rPr>
                <w:sz w:val="16"/>
              </w:rPr>
              <w:t>Rates of access to mental health</w:t>
            </w:r>
            <w:r>
              <w:rPr>
                <w:spacing w:val="-3"/>
                <w:sz w:val="16"/>
              </w:rPr>
              <w:t> </w:t>
            </w:r>
            <w:r>
              <w:rPr>
                <w:sz w:val="16"/>
              </w:rPr>
              <w:t>services</w:t>
            </w:r>
          </w:p>
          <w:p>
            <w:pPr>
              <w:pStyle w:val="TableParagraph"/>
              <w:numPr>
                <w:ilvl w:val="0"/>
                <w:numId w:val="81"/>
              </w:numPr>
              <w:tabs>
                <w:tab w:pos="594" w:val="left" w:leader="none"/>
              </w:tabs>
              <w:spacing w:line="240" w:lineRule="auto" w:before="0" w:after="0"/>
              <w:ind w:left="593" w:right="0" w:hanging="361"/>
              <w:jc w:val="left"/>
              <w:rPr>
                <w:sz w:val="16"/>
              </w:rPr>
            </w:pPr>
            <w:r>
              <w:rPr>
                <w:sz w:val="16"/>
              </w:rPr>
              <w:t>Rates of attempted suicide, suicide and self-harm</w:t>
            </w:r>
          </w:p>
          <w:p>
            <w:pPr>
              <w:pStyle w:val="TableParagraph"/>
              <w:numPr>
                <w:ilvl w:val="0"/>
                <w:numId w:val="81"/>
              </w:numPr>
              <w:tabs>
                <w:tab w:pos="594" w:val="left" w:leader="none"/>
              </w:tabs>
              <w:spacing w:line="240" w:lineRule="auto" w:before="0" w:after="0"/>
              <w:ind w:left="593" w:right="0" w:hanging="361"/>
              <w:jc w:val="left"/>
              <w:rPr>
                <w:sz w:val="16"/>
              </w:rPr>
            </w:pPr>
            <w:r>
              <w:rPr>
                <w:sz w:val="16"/>
              </w:rPr>
              <w:t>Frequency and nature of</w:t>
            </w:r>
            <w:r>
              <w:rPr>
                <w:spacing w:val="-1"/>
                <w:sz w:val="16"/>
              </w:rPr>
              <w:t> </w:t>
            </w:r>
            <w:r>
              <w:rPr>
                <w:sz w:val="16"/>
              </w:rPr>
              <w:t>help-seeking</w:t>
            </w:r>
          </w:p>
          <w:p>
            <w:pPr>
              <w:pStyle w:val="TableParagraph"/>
              <w:numPr>
                <w:ilvl w:val="0"/>
                <w:numId w:val="81"/>
              </w:numPr>
              <w:tabs>
                <w:tab w:pos="594" w:val="left" w:leader="none"/>
              </w:tabs>
              <w:spacing w:line="240" w:lineRule="auto" w:before="0" w:after="0"/>
              <w:ind w:left="593" w:right="0" w:hanging="361"/>
              <w:jc w:val="left"/>
              <w:rPr>
                <w:sz w:val="16"/>
              </w:rPr>
            </w:pPr>
            <w:r>
              <w:rPr>
                <w:sz w:val="16"/>
              </w:rPr>
              <w:t>Time devoted to personal</w:t>
            </w:r>
            <w:r>
              <w:rPr>
                <w:spacing w:val="-3"/>
                <w:sz w:val="16"/>
              </w:rPr>
              <w:t> </w:t>
            </w:r>
            <w:r>
              <w:rPr>
                <w:sz w:val="16"/>
              </w:rPr>
              <w:t>care</w:t>
            </w:r>
          </w:p>
          <w:p>
            <w:pPr>
              <w:pStyle w:val="TableParagraph"/>
              <w:numPr>
                <w:ilvl w:val="0"/>
                <w:numId w:val="81"/>
              </w:numPr>
              <w:tabs>
                <w:tab w:pos="594" w:val="left" w:leader="none"/>
              </w:tabs>
              <w:spacing w:line="240" w:lineRule="auto" w:before="0" w:after="0"/>
              <w:ind w:left="593" w:right="0" w:hanging="361"/>
              <w:jc w:val="left"/>
              <w:rPr>
                <w:sz w:val="16"/>
              </w:rPr>
            </w:pPr>
            <w:r>
              <w:rPr>
                <w:sz w:val="16"/>
              </w:rPr>
              <w:t>Rates of alcohol and substance use</w:t>
            </w:r>
          </w:p>
          <w:p>
            <w:pPr>
              <w:pStyle w:val="TableParagraph"/>
              <w:numPr>
                <w:ilvl w:val="0"/>
                <w:numId w:val="81"/>
              </w:numPr>
              <w:tabs>
                <w:tab w:pos="594" w:val="left" w:leader="none"/>
              </w:tabs>
              <w:spacing w:line="240" w:lineRule="auto" w:before="0" w:after="0"/>
              <w:ind w:left="593" w:right="0" w:hanging="361"/>
              <w:jc w:val="left"/>
              <w:rPr>
                <w:sz w:val="16"/>
              </w:rPr>
            </w:pPr>
            <w:r>
              <w:rPr>
                <w:sz w:val="16"/>
              </w:rPr>
              <w:t>Rates of participation in positive activities (e.g. sport and recreation, cultural</w:t>
            </w:r>
            <w:r>
              <w:rPr>
                <w:spacing w:val="-24"/>
                <w:sz w:val="16"/>
              </w:rPr>
              <w:t> </w:t>
            </w:r>
            <w:r>
              <w:rPr>
                <w:sz w:val="16"/>
              </w:rPr>
              <w:t>practice)</w:t>
            </w:r>
          </w:p>
        </w:tc>
        <w:tc>
          <w:tcPr>
            <w:tcW w:w="4331" w:type="dxa"/>
            <w:tcBorders>
              <w:top w:val="single" w:sz="4" w:space="0" w:color="000000"/>
              <w:bottom w:val="single" w:sz="4" w:space="0" w:color="000000"/>
            </w:tcBorders>
          </w:tcPr>
          <w:p>
            <w:pPr>
              <w:pStyle w:val="TableParagraph"/>
              <w:numPr>
                <w:ilvl w:val="0"/>
                <w:numId w:val="82"/>
              </w:numPr>
              <w:tabs>
                <w:tab w:pos="420" w:val="left" w:leader="none"/>
                <w:tab w:pos="421" w:val="left" w:leader="none"/>
              </w:tabs>
              <w:spacing w:line="240" w:lineRule="auto" w:before="57" w:after="0"/>
              <w:ind w:left="420" w:right="368" w:hanging="361"/>
              <w:jc w:val="left"/>
              <w:rPr>
                <w:sz w:val="16"/>
              </w:rPr>
            </w:pPr>
            <w:r>
              <w:rPr>
                <w:sz w:val="16"/>
              </w:rPr>
              <w:t>Surveys and consultations with government stakeholders, service providers, children, young people, families and community members</w:t>
            </w:r>
          </w:p>
          <w:p>
            <w:pPr>
              <w:pStyle w:val="TableParagraph"/>
              <w:numPr>
                <w:ilvl w:val="0"/>
                <w:numId w:val="82"/>
              </w:numPr>
              <w:tabs>
                <w:tab w:pos="420" w:val="left" w:leader="none"/>
                <w:tab w:pos="421" w:val="left" w:leader="none"/>
              </w:tabs>
              <w:spacing w:line="194" w:lineRule="exact" w:before="0" w:after="0"/>
              <w:ind w:left="421" w:right="0" w:hanging="361"/>
              <w:jc w:val="left"/>
              <w:rPr>
                <w:sz w:val="16"/>
              </w:rPr>
            </w:pPr>
            <w:r>
              <w:rPr>
                <w:sz w:val="16"/>
              </w:rPr>
              <w:t>Longitudinal Study of Indigenous</w:t>
            </w:r>
            <w:r>
              <w:rPr>
                <w:spacing w:val="-4"/>
                <w:sz w:val="16"/>
              </w:rPr>
              <w:t> </w:t>
            </w:r>
            <w:r>
              <w:rPr>
                <w:sz w:val="16"/>
              </w:rPr>
              <w:t>Children</w:t>
            </w:r>
          </w:p>
          <w:p>
            <w:pPr>
              <w:pStyle w:val="TableParagraph"/>
              <w:numPr>
                <w:ilvl w:val="0"/>
                <w:numId w:val="82"/>
              </w:numPr>
              <w:tabs>
                <w:tab w:pos="420" w:val="left" w:leader="none"/>
                <w:tab w:pos="421" w:val="left" w:leader="none"/>
              </w:tabs>
              <w:spacing w:line="240" w:lineRule="auto" w:before="0" w:after="0"/>
              <w:ind w:left="420" w:right="396" w:hanging="361"/>
              <w:jc w:val="left"/>
              <w:rPr>
                <w:sz w:val="16"/>
              </w:rPr>
            </w:pPr>
            <w:r>
              <w:rPr>
                <w:sz w:val="16"/>
              </w:rPr>
              <w:t>Aboriginal and Torres Strait Islander Health Performance Framework</w:t>
            </w:r>
            <w:r>
              <w:rPr>
                <w:spacing w:val="-4"/>
                <w:sz w:val="16"/>
              </w:rPr>
              <w:t> </w:t>
            </w:r>
            <w:r>
              <w:rPr>
                <w:sz w:val="16"/>
              </w:rPr>
              <w:t>report</w:t>
            </w:r>
          </w:p>
          <w:p>
            <w:pPr>
              <w:pStyle w:val="TableParagraph"/>
              <w:numPr>
                <w:ilvl w:val="0"/>
                <w:numId w:val="82"/>
              </w:numPr>
              <w:tabs>
                <w:tab w:pos="420" w:val="left" w:leader="none"/>
                <w:tab w:pos="421" w:val="left" w:leader="none"/>
              </w:tabs>
              <w:spacing w:line="194" w:lineRule="exact" w:before="0" w:after="0"/>
              <w:ind w:left="421" w:right="0" w:hanging="361"/>
              <w:jc w:val="left"/>
              <w:rPr>
                <w:sz w:val="16"/>
              </w:rPr>
            </w:pPr>
            <w:r>
              <w:rPr>
                <w:sz w:val="16"/>
              </w:rPr>
              <w:t>Closing the Gap</w:t>
            </w:r>
            <w:r>
              <w:rPr>
                <w:spacing w:val="-3"/>
                <w:sz w:val="16"/>
              </w:rPr>
              <w:t> </w:t>
            </w:r>
            <w:r>
              <w:rPr>
                <w:sz w:val="16"/>
              </w:rPr>
              <w:t>data</w:t>
            </w:r>
          </w:p>
          <w:p>
            <w:pPr>
              <w:pStyle w:val="TableParagraph"/>
              <w:numPr>
                <w:ilvl w:val="0"/>
                <w:numId w:val="82"/>
              </w:numPr>
              <w:tabs>
                <w:tab w:pos="420" w:val="left" w:leader="none"/>
                <w:tab w:pos="421" w:val="left" w:leader="none"/>
              </w:tabs>
              <w:spacing w:line="194" w:lineRule="exact" w:before="0" w:after="0"/>
              <w:ind w:left="421" w:right="0" w:hanging="361"/>
              <w:jc w:val="left"/>
              <w:rPr>
                <w:sz w:val="16"/>
              </w:rPr>
            </w:pPr>
            <w:r>
              <w:rPr>
                <w:sz w:val="16"/>
              </w:rPr>
              <w:t>National Youth Information</w:t>
            </w:r>
            <w:r>
              <w:rPr>
                <w:spacing w:val="-5"/>
                <w:sz w:val="16"/>
              </w:rPr>
              <w:t> </w:t>
            </w:r>
            <w:r>
              <w:rPr>
                <w:sz w:val="16"/>
              </w:rPr>
              <w:t>Framework</w:t>
            </w:r>
          </w:p>
          <w:p>
            <w:pPr>
              <w:pStyle w:val="TableParagraph"/>
              <w:numPr>
                <w:ilvl w:val="0"/>
                <w:numId w:val="82"/>
              </w:numPr>
              <w:tabs>
                <w:tab w:pos="420" w:val="left" w:leader="none"/>
                <w:tab w:pos="421" w:val="left" w:leader="none"/>
              </w:tabs>
              <w:spacing w:line="240" w:lineRule="auto" w:before="0" w:after="0"/>
              <w:ind w:left="420" w:right="254" w:hanging="361"/>
              <w:jc w:val="left"/>
              <w:rPr>
                <w:sz w:val="16"/>
              </w:rPr>
            </w:pPr>
            <w:r>
              <w:rPr>
                <w:sz w:val="16"/>
              </w:rPr>
              <w:t>National Aboriginal and Torres Strait Islander Health</w:t>
            </w:r>
            <w:r>
              <w:rPr>
                <w:spacing w:val="-1"/>
                <w:sz w:val="16"/>
              </w:rPr>
              <w:t> </w:t>
            </w:r>
            <w:r>
              <w:rPr>
                <w:sz w:val="16"/>
              </w:rPr>
              <w:t>Survey</w:t>
            </w:r>
          </w:p>
        </w:tc>
      </w:tr>
      <w:tr>
        <w:trPr>
          <w:trHeight w:val="2059" w:hRule="atLeast"/>
        </w:trPr>
        <w:tc>
          <w:tcPr>
            <w:tcW w:w="2448" w:type="dxa"/>
            <w:tcBorders>
              <w:top w:val="single" w:sz="4" w:space="0" w:color="000000"/>
              <w:bottom w:val="single" w:sz="4" w:space="0" w:color="000000"/>
            </w:tcBorders>
          </w:tcPr>
          <w:p>
            <w:pPr>
              <w:pStyle w:val="TableParagraph"/>
              <w:spacing w:before="57"/>
              <w:ind w:left="71" w:right="263"/>
              <w:rPr>
                <w:sz w:val="16"/>
              </w:rPr>
            </w:pPr>
            <w:r>
              <w:rPr>
                <w:sz w:val="16"/>
              </w:rPr>
              <w:t>WOF domain: Learning and skills (Our children learn, develop and thrive)</w:t>
            </w:r>
          </w:p>
        </w:tc>
        <w:tc>
          <w:tcPr>
            <w:tcW w:w="7621" w:type="dxa"/>
            <w:tcBorders>
              <w:top w:val="single" w:sz="4" w:space="0" w:color="000000"/>
              <w:bottom w:val="single" w:sz="4" w:space="0" w:color="000000"/>
            </w:tcBorders>
          </w:tcPr>
          <w:p>
            <w:pPr>
              <w:pStyle w:val="TableParagraph"/>
              <w:numPr>
                <w:ilvl w:val="0"/>
                <w:numId w:val="83"/>
              </w:numPr>
              <w:tabs>
                <w:tab w:pos="594" w:val="left" w:leader="none"/>
              </w:tabs>
              <w:spacing w:line="240" w:lineRule="auto" w:before="57" w:after="0"/>
              <w:ind w:left="593" w:right="0" w:hanging="361"/>
              <w:jc w:val="left"/>
              <w:rPr>
                <w:sz w:val="16"/>
              </w:rPr>
            </w:pPr>
            <w:r>
              <w:rPr>
                <w:sz w:val="16"/>
              </w:rPr>
              <w:t>Levels of educational attainment and</w:t>
            </w:r>
            <w:r>
              <w:rPr>
                <w:spacing w:val="-2"/>
                <w:sz w:val="16"/>
              </w:rPr>
              <w:t> </w:t>
            </w:r>
            <w:r>
              <w:rPr>
                <w:sz w:val="16"/>
              </w:rPr>
              <w:t>participation</w:t>
            </w:r>
          </w:p>
          <w:p>
            <w:pPr>
              <w:pStyle w:val="TableParagraph"/>
              <w:numPr>
                <w:ilvl w:val="0"/>
                <w:numId w:val="83"/>
              </w:numPr>
              <w:tabs>
                <w:tab w:pos="594" w:val="left" w:leader="none"/>
              </w:tabs>
              <w:spacing w:line="240" w:lineRule="auto" w:before="0" w:after="0"/>
              <w:ind w:left="593" w:right="0" w:hanging="361"/>
              <w:jc w:val="left"/>
              <w:rPr>
                <w:sz w:val="16"/>
              </w:rPr>
            </w:pPr>
            <w:r>
              <w:rPr>
                <w:sz w:val="16"/>
              </w:rPr>
              <w:t>Early childhood education participation (0–4</w:t>
            </w:r>
            <w:r>
              <w:rPr>
                <w:spacing w:val="-5"/>
                <w:sz w:val="16"/>
              </w:rPr>
              <w:t> </w:t>
            </w:r>
            <w:r>
              <w:rPr>
                <w:sz w:val="16"/>
              </w:rPr>
              <w:t>years)</w:t>
            </w:r>
          </w:p>
          <w:p>
            <w:pPr>
              <w:pStyle w:val="TableParagraph"/>
              <w:numPr>
                <w:ilvl w:val="0"/>
                <w:numId w:val="83"/>
              </w:numPr>
              <w:tabs>
                <w:tab w:pos="594" w:val="left" w:leader="none"/>
              </w:tabs>
              <w:spacing w:line="240" w:lineRule="auto" w:before="0" w:after="0"/>
              <w:ind w:left="593" w:right="0" w:hanging="361"/>
              <w:jc w:val="left"/>
              <w:rPr>
                <w:sz w:val="16"/>
              </w:rPr>
            </w:pPr>
            <w:r>
              <w:rPr>
                <w:sz w:val="16"/>
              </w:rPr>
              <w:t>Level of early childhood</w:t>
            </w:r>
            <w:r>
              <w:rPr>
                <w:spacing w:val="-5"/>
                <w:sz w:val="16"/>
              </w:rPr>
              <w:t> </w:t>
            </w:r>
            <w:r>
              <w:rPr>
                <w:sz w:val="16"/>
              </w:rPr>
              <w:t>development</w:t>
            </w:r>
          </w:p>
          <w:p>
            <w:pPr>
              <w:pStyle w:val="TableParagraph"/>
              <w:numPr>
                <w:ilvl w:val="0"/>
                <w:numId w:val="83"/>
              </w:numPr>
              <w:tabs>
                <w:tab w:pos="594" w:val="left" w:leader="none"/>
              </w:tabs>
              <w:spacing w:line="240" w:lineRule="auto" w:before="0" w:after="0"/>
              <w:ind w:left="593" w:right="0" w:hanging="361"/>
              <w:jc w:val="left"/>
              <w:rPr>
                <w:sz w:val="16"/>
              </w:rPr>
            </w:pPr>
            <w:r>
              <w:rPr>
                <w:sz w:val="16"/>
              </w:rPr>
              <w:t>Level of parental engagement in child</w:t>
            </w:r>
            <w:r>
              <w:rPr>
                <w:spacing w:val="-3"/>
                <w:sz w:val="16"/>
              </w:rPr>
              <w:t> </w:t>
            </w:r>
            <w:r>
              <w:rPr>
                <w:sz w:val="16"/>
              </w:rPr>
              <w:t>learning</w:t>
            </w:r>
          </w:p>
          <w:p>
            <w:pPr>
              <w:pStyle w:val="TableParagraph"/>
              <w:numPr>
                <w:ilvl w:val="0"/>
                <w:numId w:val="83"/>
              </w:numPr>
              <w:tabs>
                <w:tab w:pos="594" w:val="left" w:leader="none"/>
              </w:tabs>
              <w:spacing w:line="240" w:lineRule="auto" w:before="0" w:after="0"/>
              <w:ind w:left="593" w:right="0" w:hanging="361"/>
              <w:jc w:val="left"/>
              <w:rPr>
                <w:sz w:val="16"/>
              </w:rPr>
            </w:pPr>
            <w:r>
              <w:rPr>
                <w:sz w:val="16"/>
              </w:rPr>
              <w:t>Performance in English, Maths and Science (at Year 4 and Year</w:t>
            </w:r>
            <w:r>
              <w:rPr>
                <w:spacing w:val="-8"/>
                <w:sz w:val="16"/>
              </w:rPr>
              <w:t> </w:t>
            </w:r>
            <w:r>
              <w:rPr>
                <w:sz w:val="16"/>
              </w:rPr>
              <w:t>9)</w:t>
            </w:r>
          </w:p>
          <w:p>
            <w:pPr>
              <w:pStyle w:val="TableParagraph"/>
              <w:numPr>
                <w:ilvl w:val="0"/>
                <w:numId w:val="83"/>
              </w:numPr>
              <w:tabs>
                <w:tab w:pos="594" w:val="left" w:leader="none"/>
              </w:tabs>
              <w:spacing w:line="240" w:lineRule="auto" w:before="0" w:after="0"/>
              <w:ind w:left="593" w:right="0" w:hanging="361"/>
              <w:jc w:val="left"/>
              <w:rPr>
                <w:sz w:val="16"/>
              </w:rPr>
            </w:pPr>
            <w:r>
              <w:rPr>
                <w:sz w:val="16"/>
              </w:rPr>
              <w:t>Attainment of Year 12 or equivalent</w:t>
            </w:r>
            <w:r>
              <w:rPr>
                <w:spacing w:val="-5"/>
                <w:sz w:val="16"/>
              </w:rPr>
              <w:t> </w:t>
            </w:r>
            <w:r>
              <w:rPr>
                <w:sz w:val="16"/>
              </w:rPr>
              <w:t>qualification</w:t>
            </w:r>
          </w:p>
          <w:p>
            <w:pPr>
              <w:pStyle w:val="TableParagraph"/>
              <w:numPr>
                <w:ilvl w:val="0"/>
                <w:numId w:val="83"/>
              </w:numPr>
              <w:tabs>
                <w:tab w:pos="594" w:val="left" w:leader="none"/>
              </w:tabs>
              <w:spacing w:line="240" w:lineRule="auto" w:before="0" w:after="0"/>
              <w:ind w:left="593" w:right="0" w:hanging="361"/>
              <w:jc w:val="left"/>
              <w:rPr>
                <w:sz w:val="16"/>
              </w:rPr>
            </w:pPr>
            <w:r>
              <w:rPr>
                <w:sz w:val="16"/>
              </w:rPr>
              <w:t>Completion of tertiary</w:t>
            </w:r>
            <w:r>
              <w:rPr>
                <w:spacing w:val="-3"/>
                <w:sz w:val="16"/>
              </w:rPr>
              <w:t> </w:t>
            </w:r>
            <w:r>
              <w:rPr>
                <w:sz w:val="16"/>
              </w:rPr>
              <w:t>qualification</w:t>
            </w:r>
          </w:p>
          <w:p>
            <w:pPr>
              <w:pStyle w:val="TableParagraph"/>
              <w:numPr>
                <w:ilvl w:val="0"/>
                <w:numId w:val="83"/>
              </w:numPr>
              <w:tabs>
                <w:tab w:pos="594" w:val="left" w:leader="none"/>
              </w:tabs>
              <w:spacing w:line="240" w:lineRule="auto" w:before="0" w:after="0"/>
              <w:ind w:left="593" w:right="0" w:hanging="361"/>
              <w:jc w:val="left"/>
              <w:rPr>
                <w:sz w:val="16"/>
              </w:rPr>
            </w:pPr>
            <w:r>
              <w:rPr>
                <w:sz w:val="16"/>
              </w:rPr>
              <w:t>Level of maternal and paternal educational attainment and</w:t>
            </w:r>
            <w:r>
              <w:rPr>
                <w:spacing w:val="-7"/>
                <w:sz w:val="16"/>
              </w:rPr>
              <w:t> </w:t>
            </w:r>
            <w:r>
              <w:rPr>
                <w:sz w:val="16"/>
              </w:rPr>
              <w:t>participation</w:t>
            </w:r>
          </w:p>
          <w:p>
            <w:pPr>
              <w:pStyle w:val="TableParagraph"/>
              <w:numPr>
                <w:ilvl w:val="0"/>
                <w:numId w:val="83"/>
              </w:numPr>
              <w:tabs>
                <w:tab w:pos="594" w:val="left" w:leader="none"/>
              </w:tabs>
              <w:spacing w:line="240" w:lineRule="auto" w:before="0" w:after="0"/>
              <w:ind w:left="593" w:right="307" w:hanging="360"/>
              <w:jc w:val="left"/>
              <w:rPr>
                <w:sz w:val="16"/>
              </w:rPr>
            </w:pPr>
            <w:r>
              <w:rPr>
                <w:sz w:val="16"/>
              </w:rPr>
              <w:t>Assessment on the extent to which children are developmentally on track in all five domains of the Australian Early Development</w:t>
            </w:r>
            <w:r>
              <w:rPr>
                <w:spacing w:val="-6"/>
                <w:sz w:val="16"/>
              </w:rPr>
              <w:t> </w:t>
            </w:r>
            <w:r>
              <w:rPr>
                <w:sz w:val="16"/>
              </w:rPr>
              <w:t>Census</w:t>
            </w:r>
          </w:p>
        </w:tc>
        <w:tc>
          <w:tcPr>
            <w:tcW w:w="4331" w:type="dxa"/>
            <w:tcBorders>
              <w:top w:val="single" w:sz="4" w:space="0" w:color="000000"/>
              <w:bottom w:val="single" w:sz="4" w:space="0" w:color="000000"/>
            </w:tcBorders>
          </w:tcPr>
          <w:p>
            <w:pPr>
              <w:pStyle w:val="TableParagraph"/>
              <w:numPr>
                <w:ilvl w:val="0"/>
                <w:numId w:val="84"/>
              </w:numPr>
              <w:tabs>
                <w:tab w:pos="420" w:val="left" w:leader="none"/>
                <w:tab w:pos="421" w:val="left" w:leader="none"/>
              </w:tabs>
              <w:spacing w:line="240" w:lineRule="auto" w:before="57" w:after="0"/>
              <w:ind w:left="420" w:right="368" w:hanging="361"/>
              <w:jc w:val="left"/>
              <w:rPr>
                <w:sz w:val="16"/>
              </w:rPr>
            </w:pPr>
            <w:r>
              <w:rPr>
                <w:sz w:val="16"/>
              </w:rPr>
              <w:t>Surveys and consultations with government stakeholders, service providers, children, young people, families and community members</w:t>
            </w:r>
          </w:p>
          <w:p>
            <w:pPr>
              <w:pStyle w:val="TableParagraph"/>
              <w:numPr>
                <w:ilvl w:val="0"/>
                <w:numId w:val="84"/>
              </w:numPr>
              <w:tabs>
                <w:tab w:pos="420" w:val="left" w:leader="none"/>
                <w:tab w:pos="421" w:val="left" w:leader="none"/>
              </w:tabs>
              <w:spacing w:line="193" w:lineRule="exact" w:before="0" w:after="0"/>
              <w:ind w:left="421" w:right="0" w:hanging="361"/>
              <w:jc w:val="left"/>
              <w:rPr>
                <w:sz w:val="16"/>
              </w:rPr>
            </w:pPr>
            <w:r>
              <w:rPr>
                <w:sz w:val="16"/>
              </w:rPr>
              <w:t>Closing the Gap</w:t>
            </w:r>
            <w:r>
              <w:rPr>
                <w:spacing w:val="-3"/>
                <w:sz w:val="16"/>
              </w:rPr>
              <w:t> </w:t>
            </w:r>
            <w:r>
              <w:rPr>
                <w:sz w:val="16"/>
              </w:rPr>
              <w:t>data</w:t>
            </w:r>
          </w:p>
          <w:p>
            <w:pPr>
              <w:pStyle w:val="TableParagraph"/>
              <w:numPr>
                <w:ilvl w:val="0"/>
                <w:numId w:val="84"/>
              </w:numPr>
              <w:tabs>
                <w:tab w:pos="420" w:val="left" w:leader="none"/>
                <w:tab w:pos="421" w:val="left" w:leader="none"/>
              </w:tabs>
              <w:spacing w:line="194" w:lineRule="exact" w:before="0" w:after="0"/>
              <w:ind w:left="421" w:right="0" w:hanging="361"/>
              <w:jc w:val="left"/>
              <w:rPr>
                <w:sz w:val="16"/>
              </w:rPr>
            </w:pPr>
            <w:r>
              <w:rPr>
                <w:sz w:val="16"/>
              </w:rPr>
              <w:t>AIHW's Children's Headline</w:t>
            </w:r>
            <w:r>
              <w:rPr>
                <w:spacing w:val="-3"/>
                <w:sz w:val="16"/>
              </w:rPr>
              <w:t> </w:t>
            </w:r>
            <w:r>
              <w:rPr>
                <w:sz w:val="16"/>
              </w:rPr>
              <w:t>indicators</w:t>
            </w:r>
          </w:p>
          <w:p>
            <w:pPr>
              <w:pStyle w:val="TableParagraph"/>
              <w:numPr>
                <w:ilvl w:val="0"/>
                <w:numId w:val="84"/>
              </w:numPr>
              <w:tabs>
                <w:tab w:pos="420" w:val="left" w:leader="none"/>
                <w:tab w:pos="421" w:val="left" w:leader="none"/>
              </w:tabs>
              <w:spacing w:line="195" w:lineRule="exact" w:before="0" w:after="0"/>
              <w:ind w:left="421" w:right="0" w:hanging="361"/>
              <w:jc w:val="left"/>
              <w:rPr>
                <w:sz w:val="16"/>
              </w:rPr>
            </w:pPr>
            <w:r>
              <w:rPr>
                <w:sz w:val="16"/>
              </w:rPr>
              <w:t>The Longitudinal Study of Indigenous</w:t>
            </w:r>
            <w:r>
              <w:rPr>
                <w:spacing w:val="-9"/>
                <w:sz w:val="16"/>
              </w:rPr>
              <w:t> </w:t>
            </w:r>
            <w:r>
              <w:rPr>
                <w:sz w:val="16"/>
              </w:rPr>
              <w:t>Children</w:t>
            </w:r>
          </w:p>
          <w:p>
            <w:pPr>
              <w:pStyle w:val="TableParagraph"/>
              <w:numPr>
                <w:ilvl w:val="0"/>
                <w:numId w:val="84"/>
              </w:numPr>
              <w:tabs>
                <w:tab w:pos="420" w:val="left" w:leader="none"/>
                <w:tab w:pos="421" w:val="left" w:leader="none"/>
              </w:tabs>
              <w:spacing w:line="195" w:lineRule="exact" w:before="0" w:after="0"/>
              <w:ind w:left="421" w:right="0" w:hanging="361"/>
              <w:jc w:val="left"/>
              <w:rPr>
                <w:sz w:val="16"/>
              </w:rPr>
            </w:pPr>
            <w:r>
              <w:rPr>
                <w:sz w:val="16"/>
              </w:rPr>
              <w:t>NAPLAN</w:t>
            </w:r>
            <w:r>
              <w:rPr>
                <w:spacing w:val="-1"/>
                <w:sz w:val="16"/>
              </w:rPr>
              <w:t> </w:t>
            </w:r>
            <w:r>
              <w:rPr>
                <w:sz w:val="16"/>
              </w:rPr>
              <w:t>results</w:t>
            </w:r>
          </w:p>
          <w:p>
            <w:pPr>
              <w:pStyle w:val="TableParagraph"/>
              <w:numPr>
                <w:ilvl w:val="0"/>
                <w:numId w:val="84"/>
              </w:numPr>
              <w:tabs>
                <w:tab w:pos="420" w:val="left" w:leader="none"/>
                <w:tab w:pos="421" w:val="left" w:leader="none"/>
              </w:tabs>
              <w:spacing w:line="240" w:lineRule="auto" w:before="0" w:after="0"/>
              <w:ind w:left="420" w:right="554" w:hanging="361"/>
              <w:jc w:val="left"/>
              <w:rPr>
                <w:sz w:val="16"/>
              </w:rPr>
            </w:pPr>
            <w:r>
              <w:rPr>
                <w:sz w:val="16"/>
              </w:rPr>
              <w:t>Household, Income and Labour Dynamics Survey</w:t>
            </w:r>
          </w:p>
        </w:tc>
      </w:tr>
      <w:tr>
        <w:trPr>
          <w:trHeight w:val="2962" w:hRule="atLeast"/>
        </w:trPr>
        <w:tc>
          <w:tcPr>
            <w:tcW w:w="2448" w:type="dxa"/>
            <w:tcBorders>
              <w:top w:val="single" w:sz="4" w:space="0" w:color="000000"/>
            </w:tcBorders>
          </w:tcPr>
          <w:p>
            <w:pPr>
              <w:pStyle w:val="TableParagraph"/>
              <w:spacing w:before="55"/>
              <w:ind w:left="71" w:right="216"/>
              <w:rPr>
                <w:sz w:val="16"/>
              </w:rPr>
            </w:pPr>
            <w:r>
              <w:rPr>
                <w:sz w:val="16"/>
              </w:rPr>
              <w:t>WOF domain: Home and Environment (Our children live in safe and healthy homes)</w:t>
            </w:r>
          </w:p>
        </w:tc>
        <w:tc>
          <w:tcPr>
            <w:tcW w:w="7621" w:type="dxa"/>
            <w:tcBorders>
              <w:top w:val="single" w:sz="4" w:space="0" w:color="000000"/>
            </w:tcBorders>
          </w:tcPr>
          <w:p>
            <w:pPr>
              <w:pStyle w:val="TableParagraph"/>
              <w:numPr>
                <w:ilvl w:val="0"/>
                <w:numId w:val="85"/>
              </w:numPr>
              <w:tabs>
                <w:tab w:pos="594" w:val="left" w:leader="none"/>
              </w:tabs>
              <w:spacing w:line="240" w:lineRule="auto" w:before="55" w:after="0"/>
              <w:ind w:left="593" w:right="0" w:hanging="361"/>
              <w:jc w:val="left"/>
              <w:rPr>
                <w:sz w:val="16"/>
              </w:rPr>
            </w:pPr>
            <w:r>
              <w:rPr>
                <w:sz w:val="16"/>
              </w:rPr>
              <w:t>Housing expenditure</w:t>
            </w:r>
          </w:p>
          <w:p>
            <w:pPr>
              <w:pStyle w:val="TableParagraph"/>
              <w:numPr>
                <w:ilvl w:val="0"/>
                <w:numId w:val="85"/>
              </w:numPr>
              <w:tabs>
                <w:tab w:pos="594" w:val="left" w:leader="none"/>
              </w:tabs>
              <w:spacing w:line="240" w:lineRule="auto" w:before="2" w:after="0"/>
              <w:ind w:left="593" w:right="302" w:hanging="360"/>
              <w:jc w:val="left"/>
              <w:rPr>
                <w:sz w:val="16"/>
              </w:rPr>
            </w:pPr>
            <w:r>
              <w:rPr>
                <w:sz w:val="16"/>
              </w:rPr>
              <w:t>Access to suitable and appropriately sized housing, including access to outdoor and recreational</w:t>
            </w:r>
            <w:r>
              <w:rPr>
                <w:spacing w:val="-1"/>
                <w:sz w:val="16"/>
              </w:rPr>
              <w:t> </w:t>
            </w:r>
            <w:r>
              <w:rPr>
                <w:sz w:val="16"/>
              </w:rPr>
              <w:t>spaces</w:t>
            </w:r>
          </w:p>
          <w:p>
            <w:pPr>
              <w:pStyle w:val="TableParagraph"/>
              <w:numPr>
                <w:ilvl w:val="0"/>
                <w:numId w:val="85"/>
              </w:numPr>
              <w:tabs>
                <w:tab w:pos="594" w:val="left" w:leader="none"/>
              </w:tabs>
              <w:spacing w:line="240" w:lineRule="auto" w:before="0" w:after="0"/>
              <w:ind w:left="593" w:right="0" w:hanging="361"/>
              <w:jc w:val="left"/>
              <w:rPr>
                <w:sz w:val="16"/>
              </w:rPr>
            </w:pPr>
            <w:r>
              <w:rPr>
                <w:sz w:val="16"/>
              </w:rPr>
              <w:t>Housing conditions, including sanitation, air pollution, housing</w:t>
            </w:r>
            <w:r>
              <w:rPr>
                <w:spacing w:val="-2"/>
                <w:sz w:val="16"/>
              </w:rPr>
              <w:t> </w:t>
            </w:r>
            <w:r>
              <w:rPr>
                <w:sz w:val="16"/>
              </w:rPr>
              <w:t>problems</w:t>
            </w:r>
          </w:p>
          <w:p>
            <w:pPr>
              <w:pStyle w:val="TableParagraph"/>
              <w:numPr>
                <w:ilvl w:val="0"/>
                <w:numId w:val="85"/>
              </w:numPr>
              <w:tabs>
                <w:tab w:pos="594" w:val="left" w:leader="none"/>
              </w:tabs>
              <w:spacing w:line="240" w:lineRule="auto" w:before="0" w:after="0"/>
              <w:ind w:left="593" w:right="0" w:hanging="361"/>
              <w:jc w:val="left"/>
              <w:rPr>
                <w:sz w:val="16"/>
              </w:rPr>
            </w:pPr>
            <w:r>
              <w:rPr>
                <w:sz w:val="16"/>
              </w:rPr>
              <w:t>Housing tenure</w:t>
            </w:r>
          </w:p>
          <w:p>
            <w:pPr>
              <w:pStyle w:val="TableParagraph"/>
              <w:numPr>
                <w:ilvl w:val="0"/>
                <w:numId w:val="85"/>
              </w:numPr>
              <w:tabs>
                <w:tab w:pos="594" w:val="left" w:leader="none"/>
              </w:tabs>
              <w:spacing w:line="240" w:lineRule="auto" w:before="0" w:after="0"/>
              <w:ind w:left="593" w:right="0" w:hanging="361"/>
              <w:jc w:val="left"/>
              <w:rPr>
                <w:sz w:val="16"/>
              </w:rPr>
            </w:pPr>
            <w:r>
              <w:rPr>
                <w:sz w:val="16"/>
              </w:rPr>
              <w:t>Perceptions of feeling safe in the</w:t>
            </w:r>
            <w:r>
              <w:rPr>
                <w:spacing w:val="-5"/>
                <w:sz w:val="16"/>
              </w:rPr>
              <w:t> </w:t>
            </w:r>
            <w:r>
              <w:rPr>
                <w:sz w:val="16"/>
              </w:rPr>
              <w:t>home</w:t>
            </w:r>
          </w:p>
          <w:p>
            <w:pPr>
              <w:pStyle w:val="TableParagraph"/>
              <w:numPr>
                <w:ilvl w:val="0"/>
                <w:numId w:val="85"/>
              </w:numPr>
              <w:tabs>
                <w:tab w:pos="594" w:val="left" w:leader="none"/>
              </w:tabs>
              <w:spacing w:line="240" w:lineRule="auto" w:before="0" w:after="0"/>
              <w:ind w:left="593" w:right="0" w:hanging="361"/>
              <w:jc w:val="left"/>
              <w:rPr>
                <w:sz w:val="16"/>
              </w:rPr>
            </w:pPr>
            <w:r>
              <w:rPr>
                <w:sz w:val="16"/>
              </w:rPr>
              <w:t>Rates of homelessness</w:t>
            </w:r>
          </w:p>
        </w:tc>
        <w:tc>
          <w:tcPr>
            <w:tcW w:w="4331" w:type="dxa"/>
            <w:tcBorders>
              <w:top w:val="single" w:sz="4" w:space="0" w:color="000000"/>
            </w:tcBorders>
          </w:tcPr>
          <w:p>
            <w:pPr>
              <w:pStyle w:val="TableParagraph"/>
              <w:numPr>
                <w:ilvl w:val="0"/>
                <w:numId w:val="86"/>
              </w:numPr>
              <w:tabs>
                <w:tab w:pos="420" w:val="left" w:leader="none"/>
                <w:tab w:pos="421" w:val="left" w:leader="none"/>
              </w:tabs>
              <w:spacing w:line="240" w:lineRule="exact" w:before="69" w:after="0"/>
              <w:ind w:left="420" w:right="368" w:hanging="361"/>
              <w:jc w:val="left"/>
              <w:rPr>
                <w:sz w:val="16"/>
              </w:rPr>
            </w:pPr>
            <w:r>
              <w:rPr>
                <w:sz w:val="16"/>
              </w:rPr>
              <w:t>Surveys and consultations with government stakeholders, service providers, children, young people, families and community members</w:t>
            </w:r>
          </w:p>
          <w:p>
            <w:pPr>
              <w:pStyle w:val="TableParagraph"/>
              <w:numPr>
                <w:ilvl w:val="0"/>
                <w:numId w:val="86"/>
              </w:numPr>
              <w:tabs>
                <w:tab w:pos="420" w:val="left" w:leader="none"/>
                <w:tab w:pos="421" w:val="left" w:leader="none"/>
              </w:tabs>
              <w:spacing w:line="182" w:lineRule="exact" w:before="0" w:after="0"/>
              <w:ind w:left="421" w:right="0" w:hanging="361"/>
              <w:jc w:val="left"/>
              <w:rPr>
                <w:sz w:val="16"/>
              </w:rPr>
            </w:pPr>
            <w:r>
              <w:rPr>
                <w:sz w:val="16"/>
              </w:rPr>
              <w:t>ABS Household Expenditure</w:t>
            </w:r>
            <w:r>
              <w:rPr>
                <w:spacing w:val="-5"/>
                <w:sz w:val="16"/>
              </w:rPr>
              <w:t> </w:t>
            </w:r>
            <w:r>
              <w:rPr>
                <w:sz w:val="16"/>
              </w:rPr>
              <w:t>Survey</w:t>
            </w:r>
          </w:p>
          <w:p>
            <w:pPr>
              <w:pStyle w:val="TableParagraph"/>
              <w:numPr>
                <w:ilvl w:val="0"/>
                <w:numId w:val="86"/>
              </w:numPr>
              <w:tabs>
                <w:tab w:pos="420" w:val="left" w:leader="none"/>
                <w:tab w:pos="421" w:val="left" w:leader="none"/>
              </w:tabs>
              <w:spacing w:line="195" w:lineRule="exact" w:before="1" w:after="0"/>
              <w:ind w:left="421" w:right="0" w:hanging="361"/>
              <w:jc w:val="left"/>
              <w:rPr>
                <w:sz w:val="16"/>
              </w:rPr>
            </w:pPr>
            <w:r>
              <w:rPr>
                <w:sz w:val="16"/>
              </w:rPr>
              <w:t>Closing the Gap</w:t>
            </w:r>
            <w:r>
              <w:rPr>
                <w:spacing w:val="-3"/>
                <w:sz w:val="16"/>
              </w:rPr>
              <w:t> </w:t>
            </w:r>
            <w:r>
              <w:rPr>
                <w:sz w:val="16"/>
              </w:rPr>
              <w:t>data</w:t>
            </w:r>
          </w:p>
          <w:p>
            <w:pPr>
              <w:pStyle w:val="TableParagraph"/>
              <w:numPr>
                <w:ilvl w:val="0"/>
                <w:numId w:val="86"/>
              </w:numPr>
              <w:tabs>
                <w:tab w:pos="420" w:val="left" w:leader="none"/>
                <w:tab w:pos="421" w:val="left" w:leader="none"/>
              </w:tabs>
              <w:spacing w:line="194" w:lineRule="exact" w:before="0" w:after="0"/>
              <w:ind w:left="421" w:right="0" w:hanging="361"/>
              <w:jc w:val="left"/>
              <w:rPr>
                <w:sz w:val="16"/>
              </w:rPr>
            </w:pPr>
            <w:r>
              <w:rPr>
                <w:sz w:val="16"/>
              </w:rPr>
              <w:t>NATSISS</w:t>
            </w:r>
          </w:p>
          <w:p>
            <w:pPr>
              <w:pStyle w:val="TableParagraph"/>
              <w:numPr>
                <w:ilvl w:val="0"/>
                <w:numId w:val="86"/>
              </w:numPr>
              <w:tabs>
                <w:tab w:pos="420" w:val="left" w:leader="none"/>
                <w:tab w:pos="421" w:val="left" w:leader="none"/>
              </w:tabs>
              <w:spacing w:line="195" w:lineRule="exact" w:before="0" w:after="0"/>
              <w:ind w:left="421" w:right="0" w:hanging="361"/>
              <w:jc w:val="left"/>
              <w:rPr>
                <w:sz w:val="16"/>
              </w:rPr>
            </w:pPr>
            <w:r>
              <w:rPr>
                <w:sz w:val="16"/>
              </w:rPr>
              <w:t>Primary data to be</w:t>
            </w:r>
            <w:r>
              <w:rPr>
                <w:spacing w:val="-5"/>
                <w:sz w:val="16"/>
              </w:rPr>
              <w:t> </w:t>
            </w:r>
            <w:r>
              <w:rPr>
                <w:sz w:val="16"/>
              </w:rPr>
              <w:t>gathered</w:t>
            </w:r>
          </w:p>
          <w:p>
            <w:pPr>
              <w:pStyle w:val="TableParagraph"/>
              <w:numPr>
                <w:ilvl w:val="0"/>
                <w:numId w:val="86"/>
              </w:numPr>
              <w:tabs>
                <w:tab w:pos="420" w:val="left" w:leader="none"/>
                <w:tab w:pos="421" w:val="left" w:leader="none"/>
              </w:tabs>
              <w:spacing w:line="195" w:lineRule="exact" w:before="0" w:after="0"/>
              <w:ind w:left="421" w:right="0" w:hanging="361"/>
              <w:jc w:val="left"/>
              <w:rPr>
                <w:sz w:val="16"/>
              </w:rPr>
            </w:pPr>
            <w:r>
              <w:rPr>
                <w:sz w:val="16"/>
              </w:rPr>
              <w:t>The Longitudinal Study of Indigenous</w:t>
            </w:r>
            <w:r>
              <w:rPr>
                <w:spacing w:val="-9"/>
                <w:sz w:val="16"/>
              </w:rPr>
              <w:t> </w:t>
            </w:r>
            <w:r>
              <w:rPr>
                <w:sz w:val="16"/>
              </w:rPr>
              <w:t>Children</w:t>
            </w:r>
          </w:p>
          <w:p>
            <w:pPr>
              <w:pStyle w:val="TableParagraph"/>
              <w:numPr>
                <w:ilvl w:val="0"/>
                <w:numId w:val="86"/>
              </w:numPr>
              <w:tabs>
                <w:tab w:pos="420" w:val="left" w:leader="none"/>
                <w:tab w:pos="421" w:val="left" w:leader="none"/>
              </w:tabs>
              <w:spacing w:line="240" w:lineRule="auto" w:before="0" w:after="0"/>
              <w:ind w:left="420" w:right="437" w:hanging="361"/>
              <w:jc w:val="left"/>
              <w:rPr>
                <w:sz w:val="16"/>
              </w:rPr>
            </w:pPr>
            <w:r>
              <w:rPr>
                <w:sz w:val="16"/>
              </w:rPr>
              <w:t>AIHW National Social Housing Survey, as reported in Indigenous community</w:t>
            </w:r>
            <w:r>
              <w:rPr>
                <w:spacing w:val="-13"/>
                <w:sz w:val="16"/>
              </w:rPr>
              <w:t> </w:t>
            </w:r>
            <w:r>
              <w:rPr>
                <w:sz w:val="16"/>
              </w:rPr>
              <w:t>housing</w:t>
            </w:r>
          </w:p>
          <w:p>
            <w:pPr>
              <w:pStyle w:val="TableParagraph"/>
              <w:numPr>
                <w:ilvl w:val="0"/>
                <w:numId w:val="86"/>
              </w:numPr>
              <w:tabs>
                <w:tab w:pos="420" w:val="left" w:leader="none"/>
                <w:tab w:pos="421" w:val="left" w:leader="none"/>
              </w:tabs>
              <w:spacing w:line="194" w:lineRule="exact" w:before="3" w:after="0"/>
              <w:ind w:left="420" w:right="461" w:hanging="361"/>
              <w:jc w:val="left"/>
              <w:rPr>
                <w:sz w:val="16"/>
              </w:rPr>
            </w:pPr>
            <w:r>
              <w:rPr>
                <w:sz w:val="16"/>
              </w:rPr>
              <w:t>AIHW Aboriginal and Torres Strait Islander people: a focus report on housing and homelessness</w:t>
            </w:r>
          </w:p>
        </w:tc>
      </w:tr>
    </w:tbl>
    <w:p>
      <w:pPr>
        <w:pStyle w:val="BodyText"/>
        <w:rPr>
          <w:sz w:val="20"/>
        </w:rPr>
      </w:pPr>
    </w:p>
    <w:p>
      <w:pPr>
        <w:pStyle w:val="BodyText"/>
        <w:spacing w:before="5"/>
        <w:rPr>
          <w:sz w:val="13"/>
        </w:rPr>
      </w:pPr>
      <w:r>
        <w:rPr/>
        <w:pict>
          <v:group style="position:absolute;margin-left:49.200001pt;margin-top:10.154613pt;width:720pt;height:.5pt;mso-position-horizontal-relative:page;mso-position-vertical-relative:paragraph;z-index:-251492352;mso-wrap-distance-left:0;mso-wrap-distance-right:0" coordorigin="984,203" coordsize="14400,10">
            <v:line style="position:absolute" from="984,208" to="3305,208" stroked="true" strokeweight=".47998pt" strokecolor="#000000">
              <v:stroke dashstyle="solid"/>
            </v:line>
            <v:rect style="position:absolute;left:3290;top:203;width:10;height:10" filled="true" fillcolor="#000000" stroked="false">
              <v:fill type="solid"/>
            </v:rect>
            <v:line style="position:absolute" from="3300,208" to="11111,208" stroked="true" strokeweight=".47998pt" strokecolor="#000000">
              <v:stroke dashstyle="solid"/>
            </v:line>
            <v:rect style="position:absolute;left:11096;top:203;width:10;height:10" filled="true" fillcolor="#000000" stroked="false">
              <v:fill type="solid"/>
            </v:rect>
            <v:line style="position:absolute" from="11106,208" to="15384,208" stroked="true" strokeweight=".47998pt" strokecolor="#000000">
              <v:stroke dashstyle="solid"/>
            </v:line>
            <w10:wrap type="topAndBottom"/>
          </v:group>
        </w:pict>
      </w:r>
    </w:p>
    <w:p>
      <w:pPr>
        <w:spacing w:after="0"/>
        <w:rPr>
          <w:sz w:val="13"/>
        </w:rPr>
        <w:sectPr>
          <w:pgSz w:w="16840" w:h="11910" w:orient="landscape"/>
          <w:pgMar w:header="650" w:footer="420" w:top="1180" w:bottom="620" w:left="880" w:right="1320"/>
        </w:sectPr>
      </w:pPr>
    </w:p>
    <w:p>
      <w:pPr>
        <w:pStyle w:val="BodyText"/>
        <w:spacing w:before="4"/>
        <w:rPr>
          <w:sz w:val="21"/>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7"/>
        <w:gridCol w:w="7818"/>
        <w:gridCol w:w="4306"/>
      </w:tblGrid>
      <w:tr>
        <w:trPr>
          <w:trHeight w:val="614" w:hRule="atLeast"/>
        </w:trPr>
        <w:tc>
          <w:tcPr>
            <w:tcW w:w="2277" w:type="dxa"/>
            <w:tcBorders>
              <w:top w:val="single" w:sz="4" w:space="0" w:color="61B5E4"/>
              <w:bottom w:val="single" w:sz="4" w:space="0" w:color="000000"/>
            </w:tcBorders>
          </w:tcPr>
          <w:p>
            <w:pPr>
              <w:pStyle w:val="TableParagraph"/>
              <w:spacing w:before="57"/>
              <w:ind w:left="71"/>
              <w:rPr>
                <w:b/>
                <w:sz w:val="16"/>
              </w:rPr>
            </w:pPr>
            <w:r>
              <w:rPr>
                <w:b/>
                <w:sz w:val="16"/>
              </w:rPr>
              <w:t>Evaluation focus</w:t>
            </w:r>
          </w:p>
        </w:tc>
        <w:tc>
          <w:tcPr>
            <w:tcW w:w="7818" w:type="dxa"/>
            <w:tcBorders>
              <w:top w:val="single" w:sz="4" w:space="0" w:color="61B5E4"/>
              <w:bottom w:val="single" w:sz="4" w:space="0" w:color="000000"/>
            </w:tcBorders>
          </w:tcPr>
          <w:p>
            <w:pPr>
              <w:pStyle w:val="TableParagraph"/>
              <w:spacing w:before="57"/>
              <w:ind w:left="44"/>
              <w:rPr>
                <w:b/>
                <w:sz w:val="16"/>
              </w:rPr>
            </w:pPr>
            <w:r>
              <w:rPr>
                <w:b/>
                <w:sz w:val="16"/>
              </w:rPr>
              <w:t>Suggested indictors</w:t>
            </w:r>
          </w:p>
        </w:tc>
        <w:tc>
          <w:tcPr>
            <w:tcW w:w="4306" w:type="dxa"/>
            <w:tcBorders>
              <w:top w:val="single" w:sz="4" w:space="0" w:color="61B5E4"/>
              <w:bottom w:val="single" w:sz="4" w:space="0" w:color="000000"/>
            </w:tcBorders>
          </w:tcPr>
          <w:p>
            <w:pPr>
              <w:pStyle w:val="TableParagraph"/>
              <w:spacing w:before="57"/>
              <w:ind w:left="526"/>
              <w:rPr>
                <w:b/>
                <w:sz w:val="16"/>
              </w:rPr>
            </w:pPr>
            <w:r>
              <w:rPr>
                <w:b/>
                <w:sz w:val="16"/>
              </w:rPr>
              <w:t>Suggested data sources</w:t>
            </w:r>
          </w:p>
        </w:tc>
      </w:tr>
      <w:tr>
        <w:trPr>
          <w:trHeight w:val="2059" w:hRule="atLeast"/>
        </w:trPr>
        <w:tc>
          <w:tcPr>
            <w:tcW w:w="2277" w:type="dxa"/>
            <w:tcBorders>
              <w:top w:val="single" w:sz="4" w:space="0" w:color="000000"/>
              <w:bottom w:val="single" w:sz="4" w:space="0" w:color="000000"/>
            </w:tcBorders>
          </w:tcPr>
          <w:p>
            <w:pPr>
              <w:pStyle w:val="TableParagraph"/>
              <w:spacing w:before="57"/>
              <w:ind w:left="71" w:right="598"/>
              <w:rPr>
                <w:sz w:val="16"/>
              </w:rPr>
            </w:pPr>
            <w:r>
              <w:rPr>
                <w:sz w:val="16"/>
              </w:rPr>
              <w:t>WOF domain: Empowerment (Our children are heard)</w:t>
            </w:r>
          </w:p>
        </w:tc>
        <w:tc>
          <w:tcPr>
            <w:tcW w:w="7818" w:type="dxa"/>
            <w:tcBorders>
              <w:top w:val="single" w:sz="4" w:space="0" w:color="000000"/>
              <w:bottom w:val="single" w:sz="4" w:space="0" w:color="000000"/>
            </w:tcBorders>
          </w:tcPr>
          <w:p>
            <w:pPr>
              <w:pStyle w:val="TableParagraph"/>
              <w:numPr>
                <w:ilvl w:val="0"/>
                <w:numId w:val="87"/>
              </w:numPr>
              <w:tabs>
                <w:tab w:pos="765" w:val="left" w:leader="none"/>
              </w:tabs>
              <w:spacing w:line="240" w:lineRule="auto" w:before="57" w:after="0"/>
              <w:ind w:left="764" w:right="31" w:hanging="360"/>
              <w:jc w:val="left"/>
              <w:rPr>
                <w:sz w:val="16"/>
              </w:rPr>
            </w:pPr>
            <w:r>
              <w:rPr>
                <w:sz w:val="16"/>
              </w:rPr>
              <w:t>Levels of access to opportunity: education, employment, training throughout all stages of</w:t>
            </w:r>
            <w:r>
              <w:rPr>
                <w:spacing w:val="-1"/>
                <w:sz w:val="16"/>
              </w:rPr>
              <w:t> </w:t>
            </w:r>
            <w:r>
              <w:rPr>
                <w:sz w:val="16"/>
              </w:rPr>
              <w:t>life</w:t>
            </w:r>
          </w:p>
          <w:p>
            <w:pPr>
              <w:pStyle w:val="TableParagraph"/>
              <w:numPr>
                <w:ilvl w:val="0"/>
                <w:numId w:val="87"/>
              </w:numPr>
              <w:tabs>
                <w:tab w:pos="765" w:val="left" w:leader="none"/>
              </w:tabs>
              <w:spacing w:line="240" w:lineRule="auto" w:before="0" w:after="0"/>
              <w:ind w:left="764" w:right="0" w:hanging="361"/>
              <w:jc w:val="left"/>
              <w:rPr>
                <w:sz w:val="16"/>
              </w:rPr>
            </w:pPr>
            <w:r>
              <w:rPr>
                <w:sz w:val="16"/>
              </w:rPr>
              <w:t>Level of child and youth engagement for developing laws, policies and</w:t>
            </w:r>
            <w:r>
              <w:rPr>
                <w:spacing w:val="-15"/>
                <w:sz w:val="16"/>
              </w:rPr>
              <w:t> </w:t>
            </w:r>
            <w:r>
              <w:rPr>
                <w:sz w:val="16"/>
              </w:rPr>
              <w:t>programs</w:t>
            </w:r>
          </w:p>
          <w:p>
            <w:pPr>
              <w:pStyle w:val="TableParagraph"/>
              <w:numPr>
                <w:ilvl w:val="0"/>
                <w:numId w:val="87"/>
              </w:numPr>
              <w:tabs>
                <w:tab w:pos="765" w:val="left" w:leader="none"/>
              </w:tabs>
              <w:spacing w:line="240" w:lineRule="auto" w:before="0" w:after="0"/>
              <w:ind w:left="764" w:right="0" w:hanging="361"/>
              <w:jc w:val="left"/>
              <w:rPr>
                <w:sz w:val="16"/>
              </w:rPr>
            </w:pPr>
            <w:r>
              <w:rPr>
                <w:sz w:val="16"/>
              </w:rPr>
              <w:t>Level of youth voter</w:t>
            </w:r>
            <w:r>
              <w:rPr>
                <w:spacing w:val="-5"/>
                <w:sz w:val="16"/>
              </w:rPr>
              <w:t> </w:t>
            </w:r>
            <w:r>
              <w:rPr>
                <w:sz w:val="16"/>
              </w:rPr>
              <w:t>participation</w:t>
            </w:r>
          </w:p>
          <w:p>
            <w:pPr>
              <w:pStyle w:val="TableParagraph"/>
              <w:numPr>
                <w:ilvl w:val="0"/>
                <w:numId w:val="87"/>
              </w:numPr>
              <w:tabs>
                <w:tab w:pos="765" w:val="left" w:leader="none"/>
              </w:tabs>
              <w:spacing w:line="240" w:lineRule="auto" w:before="0" w:after="0"/>
              <w:ind w:left="764" w:right="0" w:hanging="361"/>
              <w:jc w:val="left"/>
              <w:rPr>
                <w:sz w:val="16"/>
              </w:rPr>
            </w:pPr>
            <w:r>
              <w:rPr>
                <w:sz w:val="16"/>
              </w:rPr>
              <w:t>Youth perceptions of ability to have a</w:t>
            </w:r>
            <w:r>
              <w:rPr>
                <w:spacing w:val="-6"/>
                <w:sz w:val="16"/>
              </w:rPr>
              <w:t> </w:t>
            </w:r>
            <w:r>
              <w:rPr>
                <w:sz w:val="16"/>
              </w:rPr>
              <w:t>say</w:t>
            </w:r>
          </w:p>
          <w:p>
            <w:pPr>
              <w:pStyle w:val="TableParagraph"/>
              <w:numPr>
                <w:ilvl w:val="0"/>
                <w:numId w:val="87"/>
              </w:numPr>
              <w:tabs>
                <w:tab w:pos="765" w:val="left" w:leader="none"/>
              </w:tabs>
              <w:spacing w:line="240" w:lineRule="auto" w:before="0" w:after="0"/>
              <w:ind w:left="764" w:right="0" w:hanging="361"/>
              <w:jc w:val="left"/>
              <w:rPr>
                <w:sz w:val="16"/>
              </w:rPr>
            </w:pPr>
            <w:r>
              <w:rPr>
                <w:sz w:val="16"/>
              </w:rPr>
              <w:t>Use and engagement of technology and social</w:t>
            </w:r>
            <w:r>
              <w:rPr>
                <w:spacing w:val="3"/>
                <w:sz w:val="16"/>
              </w:rPr>
              <w:t> </w:t>
            </w:r>
            <w:r>
              <w:rPr>
                <w:sz w:val="16"/>
              </w:rPr>
              <w:t>media</w:t>
            </w:r>
          </w:p>
          <w:p>
            <w:pPr>
              <w:pStyle w:val="TableParagraph"/>
              <w:numPr>
                <w:ilvl w:val="0"/>
                <w:numId w:val="87"/>
              </w:numPr>
              <w:tabs>
                <w:tab w:pos="765" w:val="left" w:leader="none"/>
              </w:tabs>
              <w:spacing w:line="240" w:lineRule="auto" w:before="0" w:after="0"/>
              <w:ind w:left="764" w:right="0" w:hanging="361"/>
              <w:jc w:val="left"/>
              <w:rPr>
                <w:sz w:val="16"/>
              </w:rPr>
            </w:pPr>
            <w:r>
              <w:rPr>
                <w:sz w:val="16"/>
              </w:rPr>
              <w:t>Membership of social, community, or civic</w:t>
            </w:r>
            <w:r>
              <w:rPr>
                <w:spacing w:val="-7"/>
                <w:sz w:val="16"/>
              </w:rPr>
              <w:t> </w:t>
            </w:r>
            <w:r>
              <w:rPr>
                <w:sz w:val="16"/>
              </w:rPr>
              <w:t>groups</w:t>
            </w:r>
          </w:p>
          <w:p>
            <w:pPr>
              <w:pStyle w:val="TableParagraph"/>
              <w:numPr>
                <w:ilvl w:val="0"/>
                <w:numId w:val="87"/>
              </w:numPr>
              <w:tabs>
                <w:tab w:pos="765" w:val="left" w:leader="none"/>
              </w:tabs>
              <w:spacing w:line="240" w:lineRule="auto" w:before="0" w:after="0"/>
              <w:ind w:left="764" w:right="0" w:hanging="361"/>
              <w:jc w:val="left"/>
              <w:rPr>
                <w:sz w:val="16"/>
              </w:rPr>
            </w:pPr>
            <w:r>
              <w:rPr>
                <w:sz w:val="16"/>
              </w:rPr>
              <w:t>Level of life</w:t>
            </w:r>
            <w:r>
              <w:rPr>
                <w:spacing w:val="-5"/>
                <w:sz w:val="16"/>
              </w:rPr>
              <w:t> </w:t>
            </w:r>
            <w:r>
              <w:rPr>
                <w:sz w:val="16"/>
              </w:rPr>
              <w:t>satisfaction</w:t>
            </w:r>
          </w:p>
          <w:p>
            <w:pPr>
              <w:pStyle w:val="TableParagraph"/>
              <w:numPr>
                <w:ilvl w:val="0"/>
                <w:numId w:val="87"/>
              </w:numPr>
              <w:tabs>
                <w:tab w:pos="765" w:val="left" w:leader="none"/>
              </w:tabs>
              <w:spacing w:line="240" w:lineRule="auto" w:before="3" w:after="0"/>
              <w:ind w:left="764" w:right="0" w:hanging="361"/>
              <w:jc w:val="left"/>
              <w:rPr>
                <w:sz w:val="16"/>
              </w:rPr>
            </w:pPr>
            <w:r>
              <w:rPr>
                <w:sz w:val="16"/>
              </w:rPr>
              <w:t>Social and emotional development in the early years (2 to 6</w:t>
            </w:r>
            <w:r>
              <w:rPr>
                <w:spacing w:val="-9"/>
                <w:sz w:val="16"/>
              </w:rPr>
              <w:t> </w:t>
            </w:r>
            <w:r>
              <w:rPr>
                <w:sz w:val="16"/>
              </w:rPr>
              <w:t>years)</w:t>
            </w:r>
          </w:p>
          <w:p>
            <w:pPr>
              <w:pStyle w:val="TableParagraph"/>
              <w:numPr>
                <w:ilvl w:val="0"/>
                <w:numId w:val="87"/>
              </w:numPr>
              <w:tabs>
                <w:tab w:pos="765" w:val="left" w:leader="none"/>
              </w:tabs>
              <w:spacing w:line="240" w:lineRule="auto" w:before="0" w:after="0"/>
              <w:ind w:left="764" w:right="0" w:hanging="361"/>
              <w:jc w:val="left"/>
              <w:rPr>
                <w:sz w:val="16"/>
              </w:rPr>
            </w:pPr>
            <w:r>
              <w:rPr>
                <w:sz w:val="16"/>
              </w:rPr>
              <w:t>Treaty</w:t>
            </w:r>
            <w:r>
              <w:rPr>
                <w:spacing w:val="-2"/>
                <w:sz w:val="16"/>
              </w:rPr>
              <w:t> </w:t>
            </w:r>
            <w:r>
              <w:rPr>
                <w:sz w:val="16"/>
              </w:rPr>
              <w:t>making</w:t>
            </w:r>
          </w:p>
        </w:tc>
        <w:tc>
          <w:tcPr>
            <w:tcW w:w="4306" w:type="dxa"/>
            <w:tcBorders>
              <w:top w:val="single" w:sz="4" w:space="0" w:color="000000"/>
              <w:bottom w:val="single" w:sz="4" w:space="0" w:color="000000"/>
            </w:tcBorders>
          </w:tcPr>
          <w:p>
            <w:pPr>
              <w:pStyle w:val="TableParagraph"/>
              <w:numPr>
                <w:ilvl w:val="0"/>
                <w:numId w:val="88"/>
              </w:numPr>
              <w:tabs>
                <w:tab w:pos="394" w:val="left" w:leader="none"/>
                <w:tab w:pos="395" w:val="left" w:leader="none"/>
              </w:tabs>
              <w:spacing w:line="240" w:lineRule="auto" w:before="57" w:after="0"/>
              <w:ind w:left="395" w:right="369" w:hanging="361"/>
              <w:jc w:val="left"/>
              <w:rPr>
                <w:sz w:val="16"/>
              </w:rPr>
            </w:pPr>
            <w:r>
              <w:rPr>
                <w:sz w:val="16"/>
              </w:rPr>
              <w:t>Surveys and consultations with government stakeholders, service providers, children, young people, families and community members</w:t>
            </w:r>
          </w:p>
          <w:p>
            <w:pPr>
              <w:pStyle w:val="TableParagraph"/>
              <w:numPr>
                <w:ilvl w:val="0"/>
                <w:numId w:val="88"/>
              </w:numPr>
              <w:tabs>
                <w:tab w:pos="394" w:val="left" w:leader="none"/>
                <w:tab w:pos="395" w:val="left" w:leader="none"/>
              </w:tabs>
              <w:spacing w:line="240" w:lineRule="auto" w:before="0" w:after="0"/>
              <w:ind w:left="395" w:right="255" w:hanging="361"/>
              <w:jc w:val="left"/>
              <w:rPr>
                <w:sz w:val="16"/>
              </w:rPr>
            </w:pPr>
            <w:r>
              <w:rPr>
                <w:sz w:val="16"/>
              </w:rPr>
              <w:t>National Aboriginal and Torres Strait Islander Health</w:t>
            </w:r>
            <w:r>
              <w:rPr>
                <w:spacing w:val="-1"/>
                <w:sz w:val="16"/>
              </w:rPr>
              <w:t> </w:t>
            </w:r>
            <w:r>
              <w:rPr>
                <w:sz w:val="16"/>
              </w:rPr>
              <w:t>Survey</w:t>
            </w:r>
          </w:p>
          <w:p>
            <w:pPr>
              <w:pStyle w:val="TableParagraph"/>
              <w:numPr>
                <w:ilvl w:val="0"/>
                <w:numId w:val="88"/>
              </w:numPr>
              <w:tabs>
                <w:tab w:pos="394" w:val="left" w:leader="none"/>
                <w:tab w:pos="395" w:val="left" w:leader="none"/>
              </w:tabs>
              <w:spacing w:line="194" w:lineRule="exact" w:before="0" w:after="0"/>
              <w:ind w:left="395" w:right="0" w:hanging="361"/>
              <w:jc w:val="left"/>
              <w:rPr>
                <w:sz w:val="16"/>
              </w:rPr>
            </w:pPr>
            <w:r>
              <w:rPr>
                <w:sz w:val="16"/>
              </w:rPr>
              <w:t>Longitudinal Study of Indigenous</w:t>
            </w:r>
            <w:r>
              <w:rPr>
                <w:spacing w:val="-3"/>
                <w:sz w:val="16"/>
              </w:rPr>
              <w:t> </w:t>
            </w:r>
            <w:r>
              <w:rPr>
                <w:sz w:val="16"/>
              </w:rPr>
              <w:t>Children</w:t>
            </w:r>
          </w:p>
        </w:tc>
      </w:tr>
      <w:tr>
        <w:trPr>
          <w:trHeight w:val="3031" w:hRule="atLeast"/>
        </w:trPr>
        <w:tc>
          <w:tcPr>
            <w:tcW w:w="2277" w:type="dxa"/>
            <w:tcBorders>
              <w:top w:val="single" w:sz="4" w:space="0" w:color="000000"/>
              <w:bottom w:val="single" w:sz="4" w:space="0" w:color="000000"/>
            </w:tcBorders>
          </w:tcPr>
          <w:p>
            <w:pPr>
              <w:pStyle w:val="TableParagraph"/>
              <w:spacing w:before="57"/>
              <w:ind w:left="71" w:right="91"/>
              <w:rPr>
                <w:sz w:val="16"/>
              </w:rPr>
            </w:pPr>
            <w:r>
              <w:rPr>
                <w:sz w:val="16"/>
              </w:rPr>
              <w:t>WOF domain: Safety (Our children are safe)</w:t>
            </w:r>
          </w:p>
        </w:tc>
        <w:tc>
          <w:tcPr>
            <w:tcW w:w="7818" w:type="dxa"/>
            <w:tcBorders>
              <w:top w:val="single" w:sz="4" w:space="0" w:color="000000"/>
              <w:bottom w:val="single" w:sz="4" w:space="0" w:color="000000"/>
            </w:tcBorders>
          </w:tcPr>
          <w:p>
            <w:pPr>
              <w:pStyle w:val="TableParagraph"/>
              <w:numPr>
                <w:ilvl w:val="0"/>
                <w:numId w:val="89"/>
              </w:numPr>
              <w:tabs>
                <w:tab w:pos="765" w:val="left" w:leader="none"/>
              </w:tabs>
              <w:spacing w:line="240" w:lineRule="auto" w:before="57" w:after="0"/>
              <w:ind w:left="764" w:right="0" w:hanging="361"/>
              <w:jc w:val="left"/>
              <w:rPr>
                <w:sz w:val="16"/>
              </w:rPr>
            </w:pPr>
            <w:r>
              <w:rPr>
                <w:sz w:val="16"/>
              </w:rPr>
              <w:t>Representation in child</w:t>
            </w:r>
            <w:r>
              <w:rPr>
                <w:spacing w:val="-2"/>
                <w:sz w:val="16"/>
              </w:rPr>
              <w:t> </w:t>
            </w:r>
            <w:r>
              <w:rPr>
                <w:sz w:val="16"/>
              </w:rPr>
              <w:t>protection</w:t>
            </w:r>
          </w:p>
          <w:p>
            <w:pPr>
              <w:pStyle w:val="TableParagraph"/>
              <w:numPr>
                <w:ilvl w:val="0"/>
                <w:numId w:val="89"/>
              </w:numPr>
              <w:tabs>
                <w:tab w:pos="765" w:val="left" w:leader="none"/>
              </w:tabs>
              <w:spacing w:line="240" w:lineRule="auto" w:before="0" w:after="0"/>
              <w:ind w:left="764" w:right="0" w:hanging="361"/>
              <w:jc w:val="left"/>
              <w:rPr>
                <w:sz w:val="16"/>
              </w:rPr>
            </w:pPr>
            <w:r>
              <w:rPr>
                <w:sz w:val="16"/>
              </w:rPr>
              <w:t>Representation in youth justice</w:t>
            </w:r>
          </w:p>
          <w:p>
            <w:pPr>
              <w:pStyle w:val="TableParagraph"/>
              <w:numPr>
                <w:ilvl w:val="0"/>
                <w:numId w:val="89"/>
              </w:numPr>
              <w:tabs>
                <w:tab w:pos="765" w:val="left" w:leader="none"/>
              </w:tabs>
              <w:spacing w:line="240" w:lineRule="auto" w:before="0" w:after="0"/>
              <w:ind w:left="764" w:right="0" w:hanging="361"/>
              <w:jc w:val="left"/>
              <w:rPr>
                <w:sz w:val="16"/>
              </w:rPr>
            </w:pPr>
            <w:r>
              <w:rPr>
                <w:sz w:val="16"/>
              </w:rPr>
              <w:t>Representation in criminal</w:t>
            </w:r>
            <w:r>
              <w:rPr>
                <w:spacing w:val="-1"/>
                <w:sz w:val="16"/>
              </w:rPr>
              <w:t> </w:t>
            </w:r>
            <w:r>
              <w:rPr>
                <w:sz w:val="16"/>
              </w:rPr>
              <w:t>justice</w:t>
            </w:r>
          </w:p>
          <w:p>
            <w:pPr>
              <w:pStyle w:val="TableParagraph"/>
              <w:numPr>
                <w:ilvl w:val="0"/>
                <w:numId w:val="89"/>
              </w:numPr>
              <w:tabs>
                <w:tab w:pos="765" w:val="left" w:leader="none"/>
              </w:tabs>
              <w:spacing w:line="240" w:lineRule="auto" w:before="0" w:after="0"/>
              <w:ind w:left="764" w:right="446" w:hanging="360"/>
              <w:jc w:val="left"/>
              <w:rPr>
                <w:sz w:val="16"/>
              </w:rPr>
            </w:pPr>
            <w:r>
              <w:rPr>
                <w:sz w:val="16"/>
              </w:rPr>
              <w:t>Rate of all forms of family violence and abuse against Aboriginal and Torres Strait Islander women and</w:t>
            </w:r>
            <w:r>
              <w:rPr>
                <w:spacing w:val="-2"/>
                <w:sz w:val="16"/>
              </w:rPr>
              <w:t> </w:t>
            </w:r>
            <w:r>
              <w:rPr>
                <w:sz w:val="16"/>
              </w:rPr>
              <w:t>children</w:t>
            </w:r>
          </w:p>
          <w:p>
            <w:pPr>
              <w:pStyle w:val="TableParagraph"/>
              <w:numPr>
                <w:ilvl w:val="0"/>
                <w:numId w:val="89"/>
              </w:numPr>
              <w:tabs>
                <w:tab w:pos="765" w:val="left" w:leader="none"/>
              </w:tabs>
              <w:spacing w:line="240" w:lineRule="auto" w:before="0" w:after="0"/>
              <w:ind w:left="764" w:right="0" w:hanging="361"/>
              <w:jc w:val="left"/>
              <w:rPr>
                <w:sz w:val="16"/>
              </w:rPr>
            </w:pPr>
            <w:r>
              <w:rPr>
                <w:sz w:val="16"/>
              </w:rPr>
              <w:t>Perceptions of safety (e.g. feeling safe alone at</w:t>
            </w:r>
            <w:r>
              <w:rPr>
                <w:spacing w:val="-10"/>
                <w:sz w:val="16"/>
              </w:rPr>
              <w:t> </w:t>
            </w:r>
            <w:r>
              <w:rPr>
                <w:sz w:val="16"/>
              </w:rPr>
              <w:t>night)</w:t>
            </w:r>
          </w:p>
          <w:p>
            <w:pPr>
              <w:pStyle w:val="TableParagraph"/>
              <w:numPr>
                <w:ilvl w:val="0"/>
                <w:numId w:val="89"/>
              </w:numPr>
              <w:tabs>
                <w:tab w:pos="765" w:val="left" w:leader="none"/>
              </w:tabs>
              <w:spacing w:line="240" w:lineRule="auto" w:before="0" w:after="0"/>
              <w:ind w:left="764" w:right="355" w:hanging="360"/>
              <w:jc w:val="left"/>
              <w:rPr>
                <w:sz w:val="16"/>
              </w:rPr>
            </w:pPr>
            <w:r>
              <w:rPr>
                <w:sz w:val="16"/>
              </w:rPr>
              <w:t>For those in the child protection system: Frequency and nature of interactions with family members and</w:t>
            </w:r>
            <w:r>
              <w:rPr>
                <w:spacing w:val="-3"/>
                <w:sz w:val="16"/>
              </w:rPr>
              <w:t> </w:t>
            </w:r>
            <w:r>
              <w:rPr>
                <w:sz w:val="16"/>
              </w:rPr>
              <w:t>kin</w:t>
            </w:r>
          </w:p>
          <w:p>
            <w:pPr>
              <w:pStyle w:val="TableParagraph"/>
              <w:numPr>
                <w:ilvl w:val="0"/>
                <w:numId w:val="89"/>
              </w:numPr>
              <w:tabs>
                <w:tab w:pos="765" w:val="left" w:leader="none"/>
              </w:tabs>
              <w:spacing w:line="240" w:lineRule="auto" w:before="0" w:after="0"/>
              <w:ind w:left="764" w:right="0" w:hanging="361"/>
              <w:jc w:val="left"/>
              <w:rPr>
                <w:sz w:val="16"/>
              </w:rPr>
            </w:pPr>
            <w:r>
              <w:rPr>
                <w:sz w:val="16"/>
              </w:rPr>
              <w:t>Reports of</w:t>
            </w:r>
            <w:r>
              <w:rPr>
                <w:spacing w:val="-6"/>
                <w:sz w:val="16"/>
              </w:rPr>
              <w:t> </w:t>
            </w:r>
            <w:r>
              <w:rPr>
                <w:sz w:val="16"/>
              </w:rPr>
              <w:t>bullying</w:t>
            </w:r>
          </w:p>
          <w:p>
            <w:pPr>
              <w:pStyle w:val="TableParagraph"/>
              <w:numPr>
                <w:ilvl w:val="0"/>
                <w:numId w:val="89"/>
              </w:numPr>
              <w:tabs>
                <w:tab w:pos="765" w:val="left" w:leader="none"/>
              </w:tabs>
              <w:spacing w:line="240" w:lineRule="auto" w:before="0" w:after="0"/>
              <w:ind w:left="764" w:right="1245" w:hanging="360"/>
              <w:jc w:val="left"/>
              <w:rPr>
                <w:sz w:val="16"/>
              </w:rPr>
            </w:pPr>
            <w:r>
              <w:rPr>
                <w:sz w:val="16"/>
              </w:rPr>
              <w:t>Nature and extent of relationships with peers, siblings, adults</w:t>
            </w:r>
            <w:r>
              <w:rPr>
                <w:spacing w:val="-23"/>
                <w:sz w:val="16"/>
              </w:rPr>
              <w:t> </w:t>
            </w:r>
            <w:r>
              <w:rPr>
                <w:sz w:val="16"/>
              </w:rPr>
              <w:t>(including parents/carers,</w:t>
            </w:r>
            <w:r>
              <w:rPr>
                <w:spacing w:val="-1"/>
                <w:sz w:val="16"/>
              </w:rPr>
              <w:t> </w:t>
            </w:r>
            <w:r>
              <w:rPr>
                <w:sz w:val="16"/>
              </w:rPr>
              <w:t>teachers)</w:t>
            </w:r>
          </w:p>
        </w:tc>
        <w:tc>
          <w:tcPr>
            <w:tcW w:w="4306" w:type="dxa"/>
            <w:tcBorders>
              <w:top w:val="single" w:sz="4" w:space="0" w:color="000000"/>
              <w:bottom w:val="single" w:sz="4" w:space="0" w:color="000000"/>
            </w:tcBorders>
          </w:tcPr>
          <w:p>
            <w:pPr>
              <w:pStyle w:val="TableParagraph"/>
              <w:numPr>
                <w:ilvl w:val="0"/>
                <w:numId w:val="90"/>
              </w:numPr>
              <w:tabs>
                <w:tab w:pos="394" w:val="left" w:leader="none"/>
                <w:tab w:pos="395" w:val="left" w:leader="none"/>
              </w:tabs>
              <w:spacing w:line="240" w:lineRule="auto" w:before="57" w:after="0"/>
              <w:ind w:left="395" w:right="369" w:hanging="361"/>
              <w:jc w:val="left"/>
              <w:rPr>
                <w:sz w:val="16"/>
              </w:rPr>
            </w:pPr>
            <w:r>
              <w:rPr>
                <w:sz w:val="16"/>
              </w:rPr>
              <w:t>Surveys and consultations with government stakeholders, service providers, children, young people, families and community members</w:t>
            </w:r>
          </w:p>
          <w:p>
            <w:pPr>
              <w:pStyle w:val="TableParagraph"/>
              <w:numPr>
                <w:ilvl w:val="0"/>
                <w:numId w:val="90"/>
              </w:numPr>
              <w:tabs>
                <w:tab w:pos="394" w:val="left" w:leader="none"/>
                <w:tab w:pos="395" w:val="left" w:leader="none"/>
              </w:tabs>
              <w:spacing w:line="193" w:lineRule="exact" w:before="0" w:after="0"/>
              <w:ind w:left="395" w:right="0" w:hanging="361"/>
              <w:jc w:val="left"/>
              <w:rPr>
                <w:sz w:val="16"/>
              </w:rPr>
            </w:pPr>
            <w:r>
              <w:rPr>
                <w:sz w:val="16"/>
              </w:rPr>
              <w:t>Closing the Gap</w:t>
            </w:r>
            <w:r>
              <w:rPr>
                <w:spacing w:val="-6"/>
                <w:sz w:val="16"/>
              </w:rPr>
              <w:t> </w:t>
            </w:r>
            <w:r>
              <w:rPr>
                <w:sz w:val="16"/>
              </w:rPr>
              <w:t>data</w:t>
            </w:r>
          </w:p>
          <w:p>
            <w:pPr>
              <w:pStyle w:val="TableParagraph"/>
              <w:numPr>
                <w:ilvl w:val="0"/>
                <w:numId w:val="90"/>
              </w:numPr>
              <w:tabs>
                <w:tab w:pos="394" w:val="left" w:leader="none"/>
                <w:tab w:pos="395" w:val="left" w:leader="none"/>
              </w:tabs>
              <w:spacing w:line="194" w:lineRule="exact" w:before="0" w:after="0"/>
              <w:ind w:left="395" w:right="0" w:hanging="361"/>
              <w:jc w:val="left"/>
              <w:rPr>
                <w:sz w:val="16"/>
              </w:rPr>
            </w:pPr>
            <w:r>
              <w:rPr>
                <w:sz w:val="16"/>
              </w:rPr>
              <w:t>National Youth Information</w:t>
            </w:r>
            <w:r>
              <w:rPr>
                <w:spacing w:val="-5"/>
                <w:sz w:val="16"/>
              </w:rPr>
              <w:t> </w:t>
            </w:r>
            <w:r>
              <w:rPr>
                <w:sz w:val="16"/>
              </w:rPr>
              <w:t>Framework</w:t>
            </w:r>
          </w:p>
          <w:p>
            <w:pPr>
              <w:pStyle w:val="TableParagraph"/>
              <w:numPr>
                <w:ilvl w:val="0"/>
                <w:numId w:val="90"/>
              </w:numPr>
              <w:tabs>
                <w:tab w:pos="394" w:val="left" w:leader="none"/>
                <w:tab w:pos="395" w:val="left" w:leader="none"/>
              </w:tabs>
              <w:spacing w:line="194" w:lineRule="exact" w:before="0" w:after="0"/>
              <w:ind w:left="395" w:right="0" w:hanging="361"/>
              <w:jc w:val="left"/>
              <w:rPr>
                <w:sz w:val="16"/>
              </w:rPr>
            </w:pPr>
            <w:r>
              <w:rPr>
                <w:sz w:val="16"/>
              </w:rPr>
              <w:t>Closing the Gap</w:t>
            </w:r>
            <w:r>
              <w:rPr>
                <w:spacing w:val="-3"/>
                <w:sz w:val="16"/>
              </w:rPr>
              <w:t> </w:t>
            </w:r>
            <w:r>
              <w:rPr>
                <w:sz w:val="16"/>
              </w:rPr>
              <w:t>data</w:t>
            </w:r>
          </w:p>
          <w:p>
            <w:pPr>
              <w:pStyle w:val="TableParagraph"/>
              <w:numPr>
                <w:ilvl w:val="0"/>
                <w:numId w:val="90"/>
              </w:numPr>
              <w:tabs>
                <w:tab w:pos="394" w:val="left" w:leader="none"/>
                <w:tab w:pos="395" w:val="left" w:leader="none"/>
              </w:tabs>
              <w:spacing w:line="240" w:lineRule="auto" w:before="0" w:after="0"/>
              <w:ind w:left="395" w:right="71" w:hanging="361"/>
              <w:jc w:val="left"/>
              <w:rPr>
                <w:sz w:val="16"/>
              </w:rPr>
            </w:pPr>
            <w:r>
              <w:rPr>
                <w:sz w:val="16"/>
              </w:rPr>
              <w:t>AIHW's Family, domestic and sexual violence in Australia: continuing the national story, based on analysis of NATSISS and Personal Safety Survey</w:t>
            </w:r>
            <w:r>
              <w:rPr>
                <w:spacing w:val="-1"/>
                <w:sz w:val="16"/>
              </w:rPr>
              <w:t> </w:t>
            </w:r>
            <w:r>
              <w:rPr>
                <w:sz w:val="16"/>
              </w:rPr>
              <w:t>(PSS)</w:t>
            </w:r>
          </w:p>
          <w:p>
            <w:pPr>
              <w:pStyle w:val="TableParagraph"/>
              <w:numPr>
                <w:ilvl w:val="0"/>
                <w:numId w:val="90"/>
              </w:numPr>
              <w:tabs>
                <w:tab w:pos="394" w:val="left" w:leader="none"/>
                <w:tab w:pos="395" w:val="left" w:leader="none"/>
              </w:tabs>
              <w:spacing w:line="194" w:lineRule="exact" w:before="0" w:after="0"/>
              <w:ind w:left="395" w:right="0" w:hanging="361"/>
              <w:jc w:val="left"/>
              <w:rPr>
                <w:sz w:val="16"/>
              </w:rPr>
            </w:pPr>
            <w:r>
              <w:rPr>
                <w:sz w:val="16"/>
              </w:rPr>
              <w:t>NFPAC</w:t>
            </w:r>
          </w:p>
          <w:p>
            <w:pPr>
              <w:pStyle w:val="TableParagraph"/>
              <w:numPr>
                <w:ilvl w:val="0"/>
                <w:numId w:val="90"/>
              </w:numPr>
              <w:tabs>
                <w:tab w:pos="394" w:val="left" w:leader="none"/>
                <w:tab w:pos="395" w:val="left" w:leader="none"/>
              </w:tabs>
              <w:spacing w:line="240" w:lineRule="auto" w:before="0" w:after="0"/>
              <w:ind w:left="395" w:right="363" w:hanging="361"/>
              <w:jc w:val="left"/>
              <w:rPr>
                <w:sz w:val="16"/>
              </w:rPr>
            </w:pPr>
            <w:r>
              <w:rPr>
                <w:sz w:val="16"/>
              </w:rPr>
              <w:t>AIHW Aboriginal and Torres Strait Islander Health Performance Framework 2017</w:t>
            </w:r>
            <w:r>
              <w:rPr>
                <w:spacing w:val="-12"/>
                <w:sz w:val="16"/>
              </w:rPr>
              <w:t> </w:t>
            </w:r>
            <w:r>
              <w:rPr>
                <w:sz w:val="16"/>
              </w:rPr>
              <w:t>online data</w:t>
            </w:r>
            <w:r>
              <w:rPr>
                <w:spacing w:val="-1"/>
                <w:sz w:val="16"/>
              </w:rPr>
              <w:t> </w:t>
            </w:r>
            <w:r>
              <w:rPr>
                <w:sz w:val="16"/>
              </w:rPr>
              <w:t>tables</w:t>
            </w:r>
          </w:p>
        </w:tc>
      </w:tr>
      <w:tr>
        <w:trPr>
          <w:trHeight w:val="479" w:hRule="atLeast"/>
        </w:trPr>
        <w:tc>
          <w:tcPr>
            <w:tcW w:w="2277" w:type="dxa"/>
            <w:tcBorders>
              <w:top w:val="single" w:sz="4" w:space="0" w:color="000000"/>
              <w:bottom w:val="single" w:sz="4" w:space="0" w:color="000000"/>
            </w:tcBorders>
            <w:shd w:val="clear" w:color="auto" w:fill="DFEFF8"/>
          </w:tcPr>
          <w:p>
            <w:pPr>
              <w:pStyle w:val="TableParagraph"/>
              <w:spacing w:before="57"/>
              <w:ind w:left="71"/>
              <w:rPr>
                <w:b/>
                <w:sz w:val="16"/>
              </w:rPr>
            </w:pPr>
            <w:r>
              <w:rPr>
                <w:b/>
                <w:sz w:val="16"/>
              </w:rPr>
              <w:t>Impact</w:t>
            </w:r>
          </w:p>
        </w:tc>
        <w:tc>
          <w:tcPr>
            <w:tcW w:w="7818" w:type="dxa"/>
            <w:tcBorders>
              <w:top w:val="single" w:sz="4" w:space="0" w:color="000000"/>
              <w:bottom w:val="single" w:sz="4" w:space="0" w:color="000000"/>
            </w:tcBorders>
            <w:shd w:val="clear" w:color="auto" w:fill="DFEFF8"/>
          </w:tcPr>
          <w:p>
            <w:pPr>
              <w:pStyle w:val="TableParagraph"/>
              <w:rPr>
                <w:rFonts w:ascii="Times New Roman"/>
                <w:sz w:val="16"/>
              </w:rPr>
            </w:pPr>
          </w:p>
        </w:tc>
        <w:tc>
          <w:tcPr>
            <w:tcW w:w="4306" w:type="dxa"/>
            <w:tcBorders>
              <w:top w:val="single" w:sz="4" w:space="0" w:color="000000"/>
              <w:bottom w:val="single" w:sz="4" w:space="0" w:color="000000"/>
            </w:tcBorders>
            <w:shd w:val="clear" w:color="auto" w:fill="DFEFF8"/>
          </w:tcPr>
          <w:p>
            <w:pPr>
              <w:pStyle w:val="TableParagraph"/>
              <w:rPr>
                <w:rFonts w:ascii="Times New Roman"/>
                <w:sz w:val="16"/>
              </w:rPr>
            </w:pPr>
          </w:p>
        </w:tc>
      </w:tr>
      <w:tr>
        <w:trPr>
          <w:trHeight w:val="609" w:hRule="atLeast"/>
        </w:trPr>
        <w:tc>
          <w:tcPr>
            <w:tcW w:w="14401" w:type="dxa"/>
            <w:gridSpan w:val="3"/>
            <w:tcBorders>
              <w:top w:val="single" w:sz="4" w:space="0" w:color="000000"/>
              <w:bottom w:val="single" w:sz="4" w:space="0" w:color="000000"/>
            </w:tcBorders>
            <w:shd w:val="clear" w:color="auto" w:fill="E2E2E3"/>
          </w:tcPr>
          <w:p>
            <w:pPr>
              <w:pStyle w:val="TableParagraph"/>
              <w:spacing w:before="57"/>
              <w:ind w:left="71"/>
              <w:rPr>
                <w:sz w:val="16"/>
              </w:rPr>
            </w:pPr>
            <w:r>
              <w:rPr>
                <w:b/>
                <w:sz w:val="16"/>
              </w:rPr>
              <w:t>Evaluation question 5: </w:t>
            </w:r>
            <w:r>
              <w:rPr>
                <w:sz w:val="16"/>
              </w:rPr>
              <w:t>To what extent has </w:t>
            </w:r>
            <w:r>
              <w:rPr>
                <w:i/>
                <w:sz w:val="16"/>
              </w:rPr>
              <w:t>Our Way </w:t>
            </w:r>
            <w:r>
              <w:rPr>
                <w:sz w:val="16"/>
              </w:rPr>
              <w:t>led to the closing the gap in life outcomes for Aboriginal and Torres Strait Islander children and families?</w:t>
            </w:r>
          </w:p>
        </w:tc>
      </w:tr>
      <w:tr>
        <w:trPr>
          <w:trHeight w:val="1864" w:hRule="atLeast"/>
        </w:trPr>
        <w:tc>
          <w:tcPr>
            <w:tcW w:w="2277" w:type="dxa"/>
            <w:tcBorders>
              <w:top w:val="single" w:sz="4" w:space="0" w:color="000000"/>
              <w:bottom w:val="single" w:sz="4" w:space="0" w:color="000000"/>
            </w:tcBorders>
          </w:tcPr>
          <w:p>
            <w:pPr>
              <w:pStyle w:val="TableParagraph"/>
              <w:spacing w:before="57"/>
              <w:ind w:left="71" w:right="26"/>
              <w:rPr>
                <w:sz w:val="16"/>
              </w:rPr>
            </w:pPr>
            <w:r>
              <w:rPr>
                <w:sz w:val="16"/>
              </w:rPr>
              <w:t>The gap in life outcomes is closed for Aboriginal and Torres Strait Islander children and families</w:t>
            </w:r>
          </w:p>
        </w:tc>
        <w:tc>
          <w:tcPr>
            <w:tcW w:w="7818" w:type="dxa"/>
            <w:tcBorders>
              <w:top w:val="single" w:sz="4" w:space="0" w:color="000000"/>
              <w:bottom w:val="single" w:sz="4" w:space="0" w:color="000000"/>
            </w:tcBorders>
          </w:tcPr>
          <w:p>
            <w:pPr>
              <w:pStyle w:val="TableParagraph"/>
              <w:numPr>
                <w:ilvl w:val="0"/>
                <w:numId w:val="91"/>
              </w:numPr>
              <w:tabs>
                <w:tab w:pos="765" w:val="left" w:leader="none"/>
              </w:tabs>
              <w:spacing w:line="240" w:lineRule="auto" w:before="57" w:after="0"/>
              <w:ind w:left="764" w:right="748" w:hanging="360"/>
              <w:jc w:val="left"/>
              <w:rPr>
                <w:sz w:val="16"/>
              </w:rPr>
            </w:pPr>
            <w:r>
              <w:rPr>
                <w:sz w:val="16"/>
              </w:rPr>
              <w:t>Aboriginal and Torres Strait Islander four-year olds enrolled in early childhood education</w:t>
            </w:r>
          </w:p>
          <w:p>
            <w:pPr>
              <w:pStyle w:val="TableParagraph"/>
              <w:numPr>
                <w:ilvl w:val="0"/>
                <w:numId w:val="91"/>
              </w:numPr>
              <w:tabs>
                <w:tab w:pos="765" w:val="left" w:leader="none"/>
              </w:tabs>
              <w:spacing w:line="240" w:lineRule="auto" w:before="1" w:after="0"/>
              <w:ind w:left="764" w:right="566" w:hanging="360"/>
              <w:jc w:val="left"/>
              <w:rPr>
                <w:sz w:val="16"/>
              </w:rPr>
            </w:pPr>
            <w:r>
              <w:rPr>
                <w:sz w:val="16"/>
              </w:rPr>
              <w:t>Teenage births - age specific birth rates for Aboriginal and Torres Strait Islander women aged 15-19</w:t>
            </w:r>
            <w:r>
              <w:rPr>
                <w:spacing w:val="-6"/>
                <w:sz w:val="16"/>
              </w:rPr>
              <w:t> </w:t>
            </w:r>
            <w:r>
              <w:rPr>
                <w:sz w:val="16"/>
              </w:rPr>
              <w:t>years</w:t>
            </w:r>
          </w:p>
          <w:p>
            <w:pPr>
              <w:pStyle w:val="TableParagraph"/>
              <w:numPr>
                <w:ilvl w:val="0"/>
                <w:numId w:val="91"/>
              </w:numPr>
              <w:tabs>
                <w:tab w:pos="765" w:val="left" w:leader="none"/>
              </w:tabs>
              <w:spacing w:line="240" w:lineRule="auto" w:before="0" w:after="0"/>
              <w:ind w:left="764" w:right="36" w:hanging="360"/>
              <w:jc w:val="left"/>
              <w:rPr>
                <w:sz w:val="16"/>
              </w:rPr>
            </w:pPr>
            <w:r>
              <w:rPr>
                <w:sz w:val="16"/>
              </w:rPr>
              <w:t>Young Aboriginal and Torres Strait Islander Queenslanders aged 15- 24 years engaged in education, training or work</w:t>
            </w:r>
            <w:r>
              <w:rPr>
                <w:spacing w:val="-4"/>
                <w:sz w:val="16"/>
              </w:rPr>
              <w:t> </w:t>
            </w:r>
            <w:r>
              <w:rPr>
                <w:sz w:val="16"/>
              </w:rPr>
              <w:t>(percentage)</w:t>
            </w:r>
          </w:p>
          <w:p>
            <w:pPr>
              <w:pStyle w:val="TableParagraph"/>
              <w:numPr>
                <w:ilvl w:val="0"/>
                <w:numId w:val="91"/>
              </w:numPr>
              <w:tabs>
                <w:tab w:pos="765" w:val="left" w:leader="none"/>
              </w:tabs>
              <w:spacing w:line="240" w:lineRule="auto" w:before="0" w:after="0"/>
              <w:ind w:left="764" w:right="0" w:hanging="361"/>
              <w:jc w:val="left"/>
              <w:rPr>
                <w:sz w:val="16"/>
              </w:rPr>
            </w:pPr>
            <w:r>
              <w:rPr>
                <w:sz w:val="16"/>
              </w:rPr>
              <w:t>Rate of Aboriginal and Torres Strait Islander babies born with a healthy weight</w:t>
            </w:r>
            <w:r>
              <w:rPr>
                <w:spacing w:val="-26"/>
                <w:sz w:val="16"/>
              </w:rPr>
              <w:t> </w:t>
            </w:r>
            <w:r>
              <w:rPr>
                <w:sz w:val="16"/>
              </w:rPr>
              <w:t>range</w:t>
            </w:r>
          </w:p>
          <w:p>
            <w:pPr>
              <w:pStyle w:val="TableParagraph"/>
              <w:numPr>
                <w:ilvl w:val="0"/>
                <w:numId w:val="91"/>
              </w:numPr>
              <w:tabs>
                <w:tab w:pos="765" w:val="left" w:leader="none"/>
              </w:tabs>
              <w:spacing w:line="240" w:lineRule="auto" w:before="0" w:after="0"/>
              <w:ind w:left="764" w:right="378" w:hanging="360"/>
              <w:jc w:val="left"/>
              <w:rPr>
                <w:sz w:val="16"/>
              </w:rPr>
            </w:pPr>
            <w:r>
              <w:rPr>
                <w:sz w:val="16"/>
              </w:rPr>
              <w:t>Aboriginal and Torres Strait Islander children developmentally vulnerable in one or more of the Australian Early Development Census</w:t>
            </w:r>
            <w:r>
              <w:rPr>
                <w:spacing w:val="-10"/>
                <w:sz w:val="16"/>
              </w:rPr>
              <w:t> </w:t>
            </w:r>
            <w:r>
              <w:rPr>
                <w:sz w:val="16"/>
              </w:rPr>
              <w:t>domains</w:t>
            </w:r>
          </w:p>
        </w:tc>
        <w:tc>
          <w:tcPr>
            <w:tcW w:w="4306" w:type="dxa"/>
            <w:tcBorders>
              <w:top w:val="single" w:sz="4" w:space="0" w:color="000000"/>
              <w:bottom w:val="single" w:sz="4" w:space="0" w:color="000000"/>
            </w:tcBorders>
          </w:tcPr>
          <w:p>
            <w:pPr>
              <w:pStyle w:val="TableParagraph"/>
              <w:numPr>
                <w:ilvl w:val="0"/>
                <w:numId w:val="92"/>
              </w:numPr>
              <w:tabs>
                <w:tab w:pos="394" w:val="left" w:leader="none"/>
                <w:tab w:pos="395" w:val="left" w:leader="none"/>
              </w:tabs>
              <w:spacing w:line="240" w:lineRule="auto" w:before="57" w:after="0"/>
              <w:ind w:left="395" w:right="179" w:hanging="361"/>
              <w:jc w:val="left"/>
              <w:rPr>
                <w:sz w:val="16"/>
              </w:rPr>
            </w:pPr>
            <w:r>
              <w:rPr>
                <w:sz w:val="16"/>
              </w:rPr>
              <w:t>DCYJMA performance data and Family</w:t>
            </w:r>
            <w:r>
              <w:rPr>
                <w:spacing w:val="-14"/>
                <w:sz w:val="16"/>
              </w:rPr>
              <w:t> </w:t>
            </w:r>
            <w:r>
              <w:rPr>
                <w:sz w:val="16"/>
              </w:rPr>
              <w:t>Matters Report</w:t>
            </w:r>
          </w:p>
          <w:p>
            <w:pPr>
              <w:pStyle w:val="TableParagraph"/>
              <w:numPr>
                <w:ilvl w:val="0"/>
                <w:numId w:val="92"/>
              </w:numPr>
              <w:tabs>
                <w:tab w:pos="394" w:val="left" w:leader="none"/>
                <w:tab w:pos="395" w:val="left" w:leader="none"/>
              </w:tabs>
              <w:spacing w:line="240" w:lineRule="auto" w:before="0" w:after="0"/>
              <w:ind w:left="395" w:right="201" w:hanging="361"/>
              <w:jc w:val="left"/>
              <w:rPr>
                <w:sz w:val="16"/>
              </w:rPr>
            </w:pPr>
            <w:r>
              <w:rPr>
                <w:sz w:val="16"/>
              </w:rPr>
              <w:t>AIHW report: The Aboriginal and Torres Strait Islander Child Placement Principle Indicators 2018–19: measuring</w:t>
            </w:r>
            <w:r>
              <w:rPr>
                <w:spacing w:val="-5"/>
                <w:sz w:val="16"/>
              </w:rPr>
              <w:t> </w:t>
            </w:r>
            <w:r>
              <w:rPr>
                <w:sz w:val="16"/>
              </w:rPr>
              <w:t>progress</w:t>
            </w:r>
          </w:p>
        </w:tc>
      </w:tr>
    </w:tbl>
    <w:p>
      <w:pPr>
        <w:spacing w:after="0" w:line="240" w:lineRule="auto"/>
        <w:jc w:val="left"/>
        <w:rPr>
          <w:sz w:val="16"/>
        </w:rPr>
        <w:sectPr>
          <w:pgSz w:w="16840" w:h="11910" w:orient="landscape"/>
          <w:pgMar w:header="650" w:footer="420" w:top="1180" w:bottom="620" w:left="880" w:right="1320"/>
        </w:sectPr>
      </w:pPr>
    </w:p>
    <w:p>
      <w:pPr>
        <w:pStyle w:val="BodyText"/>
        <w:spacing w:before="4"/>
        <w:rPr>
          <w:sz w:val="21"/>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2"/>
        <w:gridCol w:w="7759"/>
        <w:gridCol w:w="4353"/>
      </w:tblGrid>
      <w:tr>
        <w:trPr>
          <w:trHeight w:val="614" w:hRule="atLeast"/>
        </w:trPr>
        <w:tc>
          <w:tcPr>
            <w:tcW w:w="2292" w:type="dxa"/>
            <w:tcBorders>
              <w:top w:val="single" w:sz="4" w:space="0" w:color="61B5E4"/>
              <w:bottom w:val="single" w:sz="4" w:space="0" w:color="000000"/>
            </w:tcBorders>
          </w:tcPr>
          <w:p>
            <w:pPr>
              <w:pStyle w:val="TableParagraph"/>
              <w:spacing w:before="57"/>
              <w:ind w:left="71"/>
              <w:rPr>
                <w:b/>
                <w:sz w:val="16"/>
              </w:rPr>
            </w:pPr>
            <w:r>
              <w:rPr>
                <w:b/>
                <w:sz w:val="16"/>
              </w:rPr>
              <w:t>Evaluation focus</w:t>
            </w:r>
          </w:p>
        </w:tc>
        <w:tc>
          <w:tcPr>
            <w:tcW w:w="7759" w:type="dxa"/>
            <w:tcBorders>
              <w:top w:val="single" w:sz="4" w:space="0" w:color="61B5E4"/>
              <w:bottom w:val="single" w:sz="4" w:space="0" w:color="000000"/>
            </w:tcBorders>
          </w:tcPr>
          <w:p>
            <w:pPr>
              <w:pStyle w:val="TableParagraph"/>
              <w:spacing w:before="57"/>
              <w:ind w:left="29"/>
              <w:rPr>
                <w:b/>
                <w:sz w:val="16"/>
              </w:rPr>
            </w:pPr>
            <w:r>
              <w:rPr>
                <w:b/>
                <w:sz w:val="16"/>
              </w:rPr>
              <w:t>Suggested indictors</w:t>
            </w:r>
          </w:p>
        </w:tc>
        <w:tc>
          <w:tcPr>
            <w:tcW w:w="4353" w:type="dxa"/>
            <w:tcBorders>
              <w:top w:val="single" w:sz="4" w:space="0" w:color="61B5E4"/>
              <w:bottom w:val="single" w:sz="4" w:space="0" w:color="000000"/>
            </w:tcBorders>
          </w:tcPr>
          <w:p>
            <w:pPr>
              <w:pStyle w:val="TableParagraph"/>
              <w:spacing w:before="57"/>
              <w:ind w:left="930"/>
              <w:rPr>
                <w:b/>
                <w:sz w:val="16"/>
              </w:rPr>
            </w:pPr>
            <w:r>
              <w:rPr>
                <w:b/>
                <w:sz w:val="16"/>
              </w:rPr>
              <w:t>Suggested data sources</w:t>
            </w:r>
          </w:p>
        </w:tc>
      </w:tr>
      <w:tr>
        <w:trPr>
          <w:trHeight w:val="717" w:hRule="atLeast"/>
        </w:trPr>
        <w:tc>
          <w:tcPr>
            <w:tcW w:w="14404" w:type="dxa"/>
            <w:gridSpan w:val="3"/>
            <w:tcBorders>
              <w:top w:val="single" w:sz="4" w:space="0" w:color="000000"/>
              <w:bottom w:val="single" w:sz="4" w:space="0" w:color="000000"/>
            </w:tcBorders>
            <w:shd w:val="clear" w:color="auto" w:fill="E2E2E3"/>
          </w:tcPr>
          <w:p>
            <w:pPr>
              <w:pStyle w:val="TableParagraph"/>
              <w:spacing w:before="57"/>
              <w:ind w:left="71" w:right="260"/>
              <w:rPr>
                <w:sz w:val="16"/>
              </w:rPr>
            </w:pPr>
            <w:r>
              <w:rPr>
                <w:b/>
                <w:sz w:val="16"/>
              </w:rPr>
              <w:t>Evaluation question 6: </w:t>
            </w:r>
            <w:r>
              <w:rPr>
                <w:sz w:val="16"/>
              </w:rPr>
              <w:t>To what extent has </w:t>
            </w:r>
            <w:r>
              <w:rPr>
                <w:i/>
                <w:sz w:val="16"/>
              </w:rPr>
              <w:t>Our Way </w:t>
            </w:r>
            <w:r>
              <w:rPr>
                <w:sz w:val="16"/>
              </w:rPr>
              <w:t>eliminated the disproportionate representation of Aboriginal and Torres Strait Islander children and families in the child protection system?</w:t>
            </w:r>
          </w:p>
        </w:tc>
      </w:tr>
      <w:tr>
        <w:trPr>
          <w:trHeight w:val="1449" w:hRule="atLeast"/>
        </w:trPr>
        <w:tc>
          <w:tcPr>
            <w:tcW w:w="2292" w:type="dxa"/>
            <w:tcBorders>
              <w:top w:val="single" w:sz="4" w:space="0" w:color="000000"/>
              <w:bottom w:val="single" w:sz="4" w:space="0" w:color="000000"/>
            </w:tcBorders>
          </w:tcPr>
          <w:p>
            <w:pPr>
              <w:pStyle w:val="TableParagraph"/>
              <w:spacing w:before="55"/>
              <w:ind w:left="71" w:right="27"/>
              <w:rPr>
                <w:sz w:val="16"/>
              </w:rPr>
            </w:pPr>
            <w:r>
              <w:rPr>
                <w:sz w:val="16"/>
              </w:rPr>
              <w:t>The disproportionate representation of Aboriginal and Torres Strait Islander families in the child protection system is eliminated</w:t>
            </w:r>
          </w:p>
        </w:tc>
        <w:tc>
          <w:tcPr>
            <w:tcW w:w="7759" w:type="dxa"/>
            <w:tcBorders>
              <w:top w:val="single" w:sz="4" w:space="0" w:color="000000"/>
              <w:bottom w:val="single" w:sz="4" w:space="0" w:color="000000"/>
            </w:tcBorders>
          </w:tcPr>
          <w:p>
            <w:pPr>
              <w:pStyle w:val="TableParagraph"/>
              <w:numPr>
                <w:ilvl w:val="0"/>
                <w:numId w:val="93"/>
              </w:numPr>
              <w:tabs>
                <w:tab w:pos="750" w:val="left" w:leader="none"/>
              </w:tabs>
              <w:spacing w:line="240" w:lineRule="auto" w:before="55" w:after="0"/>
              <w:ind w:left="749" w:right="0" w:hanging="361"/>
              <w:jc w:val="left"/>
              <w:rPr>
                <w:sz w:val="16"/>
              </w:rPr>
            </w:pPr>
            <w:r>
              <w:rPr>
                <w:sz w:val="16"/>
              </w:rPr>
              <w:t>Aboriginal and Torres Strait Islander families that received family support</w:t>
            </w:r>
            <w:r>
              <w:rPr>
                <w:spacing w:val="-18"/>
                <w:sz w:val="16"/>
              </w:rPr>
              <w:t> </w:t>
            </w:r>
            <w:r>
              <w:rPr>
                <w:sz w:val="16"/>
              </w:rPr>
              <w:t>services</w:t>
            </w:r>
          </w:p>
          <w:p>
            <w:pPr>
              <w:pStyle w:val="TableParagraph"/>
              <w:numPr>
                <w:ilvl w:val="0"/>
                <w:numId w:val="93"/>
              </w:numPr>
              <w:tabs>
                <w:tab w:pos="750" w:val="left" w:leader="none"/>
              </w:tabs>
              <w:spacing w:line="240" w:lineRule="auto" w:before="0" w:after="0"/>
              <w:ind w:left="749" w:right="0" w:hanging="361"/>
              <w:jc w:val="left"/>
              <w:rPr>
                <w:sz w:val="16"/>
              </w:rPr>
            </w:pPr>
            <w:r>
              <w:rPr>
                <w:sz w:val="16"/>
              </w:rPr>
              <w:t>Aboriginal and Torres Strait Islander children in out-of-home</w:t>
            </w:r>
            <w:r>
              <w:rPr>
                <w:spacing w:val="-9"/>
                <w:sz w:val="16"/>
              </w:rPr>
              <w:t> </w:t>
            </w:r>
            <w:r>
              <w:rPr>
                <w:sz w:val="16"/>
              </w:rPr>
              <w:t>care</w:t>
            </w:r>
          </w:p>
          <w:p>
            <w:pPr>
              <w:pStyle w:val="TableParagraph"/>
              <w:numPr>
                <w:ilvl w:val="0"/>
                <w:numId w:val="93"/>
              </w:numPr>
              <w:tabs>
                <w:tab w:pos="750" w:val="left" w:leader="none"/>
              </w:tabs>
              <w:spacing w:line="240" w:lineRule="auto" w:before="0" w:after="0"/>
              <w:ind w:left="749" w:right="0" w:hanging="361"/>
              <w:jc w:val="left"/>
              <w:rPr>
                <w:sz w:val="16"/>
              </w:rPr>
            </w:pPr>
            <w:r>
              <w:rPr>
                <w:sz w:val="16"/>
              </w:rPr>
              <w:t>Safe reunification</w:t>
            </w:r>
            <w:r>
              <w:rPr>
                <w:spacing w:val="-3"/>
                <w:sz w:val="16"/>
              </w:rPr>
              <w:t> </w:t>
            </w:r>
            <w:r>
              <w:rPr>
                <w:sz w:val="16"/>
              </w:rPr>
              <w:t>indicator</w:t>
            </w:r>
          </w:p>
          <w:p>
            <w:pPr>
              <w:pStyle w:val="TableParagraph"/>
              <w:numPr>
                <w:ilvl w:val="0"/>
                <w:numId w:val="93"/>
              </w:numPr>
              <w:tabs>
                <w:tab w:pos="750" w:val="left" w:leader="none"/>
              </w:tabs>
              <w:spacing w:line="240" w:lineRule="auto" w:before="0" w:after="0"/>
              <w:ind w:left="749" w:right="0" w:hanging="361"/>
              <w:jc w:val="left"/>
              <w:rPr>
                <w:sz w:val="16"/>
              </w:rPr>
            </w:pPr>
            <w:r>
              <w:rPr>
                <w:sz w:val="16"/>
              </w:rPr>
              <w:t>Aboriginal and Torres Strait Islander children subject to</w:t>
            </w:r>
            <w:r>
              <w:rPr>
                <w:spacing w:val="-10"/>
                <w:sz w:val="16"/>
              </w:rPr>
              <w:t> </w:t>
            </w:r>
            <w:r>
              <w:rPr>
                <w:sz w:val="16"/>
              </w:rPr>
              <w:t>substantiations</w:t>
            </w:r>
          </w:p>
        </w:tc>
        <w:tc>
          <w:tcPr>
            <w:tcW w:w="4353" w:type="dxa"/>
            <w:tcBorders>
              <w:top w:val="single" w:sz="4" w:space="0" w:color="000000"/>
              <w:bottom w:val="single" w:sz="4" w:space="0" w:color="000000"/>
            </w:tcBorders>
          </w:tcPr>
          <w:p>
            <w:pPr>
              <w:pStyle w:val="TableParagraph"/>
              <w:numPr>
                <w:ilvl w:val="0"/>
                <w:numId w:val="94"/>
              </w:numPr>
              <w:tabs>
                <w:tab w:pos="438" w:val="left" w:leader="none"/>
                <w:tab w:pos="439" w:val="left" w:leader="none"/>
              </w:tabs>
              <w:spacing w:line="240" w:lineRule="auto" w:before="55" w:after="0"/>
              <w:ind w:left="439" w:right="182" w:hanging="361"/>
              <w:jc w:val="left"/>
              <w:rPr>
                <w:sz w:val="16"/>
              </w:rPr>
            </w:pPr>
            <w:r>
              <w:rPr>
                <w:sz w:val="16"/>
              </w:rPr>
              <w:t>DCYJMA performance data and Family</w:t>
            </w:r>
            <w:r>
              <w:rPr>
                <w:spacing w:val="-14"/>
                <w:sz w:val="16"/>
              </w:rPr>
              <w:t> </w:t>
            </w:r>
            <w:r>
              <w:rPr>
                <w:sz w:val="16"/>
              </w:rPr>
              <w:t>Matters Report</w:t>
            </w:r>
          </w:p>
          <w:p>
            <w:pPr>
              <w:pStyle w:val="TableParagraph"/>
              <w:numPr>
                <w:ilvl w:val="0"/>
                <w:numId w:val="94"/>
              </w:numPr>
              <w:tabs>
                <w:tab w:pos="438" w:val="left" w:leader="none"/>
                <w:tab w:pos="439" w:val="left" w:leader="none"/>
              </w:tabs>
              <w:spacing w:line="240" w:lineRule="auto" w:before="0" w:after="0"/>
              <w:ind w:left="439" w:right="204" w:hanging="361"/>
              <w:jc w:val="left"/>
              <w:rPr>
                <w:sz w:val="16"/>
              </w:rPr>
            </w:pPr>
            <w:r>
              <w:rPr>
                <w:sz w:val="16"/>
              </w:rPr>
              <w:t>AIHW report: The Aboriginal and Torres Strait Islander Child Placement Principle Indicators 2018–19: measuring</w:t>
            </w:r>
            <w:r>
              <w:rPr>
                <w:spacing w:val="-5"/>
                <w:sz w:val="16"/>
              </w:rPr>
              <w:t> </w:t>
            </w:r>
            <w:r>
              <w:rPr>
                <w:sz w:val="16"/>
              </w:rPr>
              <w:t>progress</w:t>
            </w:r>
          </w:p>
        </w:tc>
      </w:tr>
      <w:tr>
        <w:trPr>
          <w:trHeight w:val="661" w:hRule="atLeast"/>
        </w:trPr>
        <w:tc>
          <w:tcPr>
            <w:tcW w:w="14404" w:type="dxa"/>
            <w:gridSpan w:val="3"/>
            <w:tcBorders>
              <w:top w:val="single" w:sz="4" w:space="0" w:color="000000"/>
              <w:bottom w:val="single" w:sz="4" w:space="0" w:color="000000"/>
            </w:tcBorders>
            <w:shd w:val="clear" w:color="auto" w:fill="E2E2E3"/>
          </w:tcPr>
          <w:p>
            <w:pPr>
              <w:pStyle w:val="TableParagraph"/>
              <w:spacing w:before="57"/>
              <w:ind w:left="71"/>
              <w:rPr>
                <w:sz w:val="16"/>
              </w:rPr>
            </w:pPr>
            <w:r>
              <w:rPr>
                <w:b/>
                <w:sz w:val="16"/>
              </w:rPr>
              <w:t>Evaluation question 7: </w:t>
            </w:r>
            <w:r>
              <w:rPr>
                <w:sz w:val="16"/>
              </w:rPr>
              <w:t>To what extent has </w:t>
            </w:r>
            <w:r>
              <w:rPr>
                <w:i/>
                <w:sz w:val="16"/>
              </w:rPr>
              <w:t>Our Way </w:t>
            </w:r>
            <w:r>
              <w:rPr>
                <w:sz w:val="16"/>
              </w:rPr>
              <w:t>generated more positive outcomes across all groups in the Changing Tracks Priority Areas?</w:t>
            </w:r>
          </w:p>
        </w:tc>
      </w:tr>
      <w:tr>
        <w:trPr>
          <w:trHeight w:val="2447" w:hRule="atLeast"/>
        </w:trPr>
        <w:tc>
          <w:tcPr>
            <w:tcW w:w="2292" w:type="dxa"/>
            <w:tcBorders>
              <w:top w:val="single" w:sz="4" w:space="0" w:color="000000"/>
              <w:bottom w:val="single" w:sz="4" w:space="0" w:color="000000"/>
            </w:tcBorders>
          </w:tcPr>
          <w:p>
            <w:pPr>
              <w:pStyle w:val="TableParagraph"/>
              <w:rPr>
                <w:rFonts w:ascii="Times New Roman"/>
                <w:sz w:val="16"/>
              </w:rPr>
            </w:pPr>
          </w:p>
        </w:tc>
        <w:tc>
          <w:tcPr>
            <w:tcW w:w="7759" w:type="dxa"/>
            <w:tcBorders>
              <w:top w:val="single" w:sz="4" w:space="0" w:color="000000"/>
              <w:bottom w:val="single" w:sz="4" w:space="0" w:color="000000"/>
            </w:tcBorders>
          </w:tcPr>
          <w:p>
            <w:pPr>
              <w:pStyle w:val="TableParagraph"/>
              <w:numPr>
                <w:ilvl w:val="0"/>
                <w:numId w:val="95"/>
              </w:numPr>
              <w:tabs>
                <w:tab w:pos="750" w:val="left" w:leader="none"/>
              </w:tabs>
              <w:spacing w:line="240" w:lineRule="auto" w:before="57" w:after="0"/>
              <w:ind w:left="749" w:right="165" w:hanging="360"/>
              <w:jc w:val="left"/>
              <w:rPr>
                <w:sz w:val="16"/>
              </w:rPr>
            </w:pPr>
            <w:r>
              <w:rPr>
                <w:sz w:val="16"/>
              </w:rPr>
              <w:t>Reported level of agreement that the outcomes and initiatives of </w:t>
            </w:r>
            <w:r>
              <w:rPr>
                <w:i/>
                <w:sz w:val="16"/>
              </w:rPr>
              <w:t>Our Way</w:t>
            </w:r>
            <w:r>
              <w:rPr>
                <w:sz w:val="16"/>
              </w:rPr>
              <w:t>, Changing Tracks provide equitable benefits across the following</w:t>
            </w:r>
            <w:r>
              <w:rPr>
                <w:spacing w:val="-9"/>
                <w:sz w:val="16"/>
              </w:rPr>
              <w:t> </w:t>
            </w:r>
            <w:r>
              <w:rPr>
                <w:sz w:val="16"/>
              </w:rPr>
              <w:t>groups:</w:t>
            </w:r>
          </w:p>
          <w:p>
            <w:pPr>
              <w:pStyle w:val="TableParagraph"/>
              <w:numPr>
                <w:ilvl w:val="1"/>
                <w:numId w:val="95"/>
              </w:numPr>
              <w:tabs>
                <w:tab w:pos="1589" w:val="left" w:leader="none"/>
                <w:tab w:pos="1590" w:val="left" w:leader="none"/>
              </w:tabs>
              <w:spacing w:line="240" w:lineRule="auto" w:before="0" w:after="0"/>
              <w:ind w:left="1589" w:right="78" w:hanging="361"/>
              <w:jc w:val="left"/>
              <w:rPr>
                <w:sz w:val="16"/>
              </w:rPr>
            </w:pPr>
            <w:r>
              <w:rPr>
                <w:sz w:val="16"/>
              </w:rPr>
              <w:t>Aboriginal and Torres Strait Islander young women under 25 years, and their partners, before and during pregnancy and parenting (Priority Area</w:t>
            </w:r>
            <w:r>
              <w:rPr>
                <w:spacing w:val="-23"/>
                <w:sz w:val="16"/>
              </w:rPr>
              <w:t> </w:t>
            </w:r>
            <w:r>
              <w:rPr>
                <w:sz w:val="16"/>
              </w:rPr>
              <w:t>1)</w:t>
            </w:r>
          </w:p>
          <w:p>
            <w:pPr>
              <w:pStyle w:val="TableParagraph"/>
              <w:numPr>
                <w:ilvl w:val="1"/>
                <w:numId w:val="95"/>
              </w:numPr>
              <w:tabs>
                <w:tab w:pos="1589" w:val="left" w:leader="none"/>
                <w:tab w:pos="1590" w:val="left" w:leader="none"/>
              </w:tabs>
              <w:spacing w:line="240" w:lineRule="auto" w:before="0" w:after="0"/>
              <w:ind w:left="1589" w:right="689" w:hanging="361"/>
              <w:jc w:val="left"/>
              <w:rPr>
                <w:sz w:val="16"/>
              </w:rPr>
            </w:pPr>
            <w:r>
              <w:rPr>
                <w:sz w:val="16"/>
              </w:rPr>
              <w:t>Aboriginal and Torres Strait Islander children aged two to five</w:t>
            </w:r>
            <w:r>
              <w:rPr>
                <w:spacing w:val="-25"/>
                <w:sz w:val="16"/>
              </w:rPr>
              <w:t> </w:t>
            </w:r>
            <w:r>
              <w:rPr>
                <w:sz w:val="16"/>
              </w:rPr>
              <w:t>years requiring access to health and disability programs (Priority Area</w:t>
            </w:r>
            <w:r>
              <w:rPr>
                <w:spacing w:val="-13"/>
                <w:sz w:val="16"/>
              </w:rPr>
              <w:t> </w:t>
            </w:r>
            <w:r>
              <w:rPr>
                <w:sz w:val="16"/>
              </w:rPr>
              <w:t>2)</w:t>
            </w:r>
          </w:p>
          <w:p>
            <w:pPr>
              <w:pStyle w:val="TableParagraph"/>
              <w:numPr>
                <w:ilvl w:val="1"/>
                <w:numId w:val="95"/>
              </w:numPr>
              <w:tabs>
                <w:tab w:pos="1589" w:val="left" w:leader="none"/>
                <w:tab w:pos="1590" w:val="left" w:leader="none"/>
              </w:tabs>
              <w:spacing w:line="240" w:lineRule="auto" w:before="0" w:after="0"/>
              <w:ind w:left="1589" w:right="116" w:hanging="361"/>
              <w:jc w:val="left"/>
              <w:rPr>
                <w:sz w:val="16"/>
              </w:rPr>
            </w:pPr>
            <w:r>
              <w:rPr>
                <w:sz w:val="16"/>
              </w:rPr>
              <w:t>Aboriginal and Torres Strait Islander families who have complex needs and children at risk (Priority Area</w:t>
            </w:r>
            <w:r>
              <w:rPr>
                <w:spacing w:val="-8"/>
                <w:sz w:val="16"/>
              </w:rPr>
              <w:t> </w:t>
            </w:r>
            <w:r>
              <w:rPr>
                <w:sz w:val="16"/>
              </w:rPr>
              <w:t>3)</w:t>
            </w:r>
          </w:p>
          <w:p>
            <w:pPr>
              <w:pStyle w:val="TableParagraph"/>
              <w:numPr>
                <w:ilvl w:val="1"/>
                <w:numId w:val="95"/>
              </w:numPr>
              <w:tabs>
                <w:tab w:pos="1589" w:val="left" w:leader="none"/>
                <w:tab w:pos="1590" w:val="left" w:leader="none"/>
              </w:tabs>
              <w:spacing w:line="240" w:lineRule="auto" w:before="0" w:after="0"/>
              <w:ind w:left="1589" w:right="225" w:hanging="361"/>
              <w:jc w:val="left"/>
              <w:rPr>
                <w:sz w:val="16"/>
              </w:rPr>
            </w:pPr>
            <w:r>
              <w:rPr>
                <w:sz w:val="16"/>
              </w:rPr>
              <w:t>Aboriginal and Torres Strait Islander children and young people in out-of- home care/disconnected from family and kin (Priority Area</w:t>
            </w:r>
            <w:r>
              <w:rPr>
                <w:spacing w:val="-12"/>
                <w:sz w:val="16"/>
              </w:rPr>
              <w:t> </w:t>
            </w:r>
            <w:r>
              <w:rPr>
                <w:sz w:val="16"/>
              </w:rPr>
              <w:t>4)</w:t>
            </w:r>
          </w:p>
          <w:p>
            <w:pPr>
              <w:pStyle w:val="TableParagraph"/>
              <w:numPr>
                <w:ilvl w:val="1"/>
                <w:numId w:val="95"/>
              </w:numPr>
              <w:tabs>
                <w:tab w:pos="1589" w:val="left" w:leader="none"/>
                <w:tab w:pos="1590" w:val="left" w:leader="none"/>
              </w:tabs>
              <w:spacing w:line="240" w:lineRule="auto" w:before="0" w:after="0"/>
              <w:ind w:left="1589" w:right="124" w:hanging="361"/>
              <w:jc w:val="left"/>
              <w:rPr>
                <w:sz w:val="16"/>
              </w:rPr>
            </w:pPr>
            <w:r>
              <w:rPr>
                <w:sz w:val="16"/>
              </w:rPr>
              <w:t>Aboriginal and Torres Strait Islander children and young people aged 15 to 21 years in or leaving out-of-home care (Priority Area</w:t>
            </w:r>
            <w:r>
              <w:rPr>
                <w:spacing w:val="-15"/>
                <w:sz w:val="16"/>
              </w:rPr>
              <w:t> </w:t>
            </w:r>
            <w:r>
              <w:rPr>
                <w:sz w:val="16"/>
              </w:rPr>
              <w:t>5)</w:t>
            </w:r>
          </w:p>
        </w:tc>
        <w:tc>
          <w:tcPr>
            <w:tcW w:w="4353" w:type="dxa"/>
            <w:tcBorders>
              <w:top w:val="single" w:sz="4" w:space="0" w:color="000000"/>
              <w:bottom w:val="single" w:sz="4" w:space="0" w:color="000000"/>
            </w:tcBorders>
          </w:tcPr>
          <w:p>
            <w:pPr>
              <w:pStyle w:val="TableParagraph"/>
              <w:numPr>
                <w:ilvl w:val="0"/>
                <w:numId w:val="96"/>
              </w:numPr>
              <w:tabs>
                <w:tab w:pos="438" w:val="left" w:leader="none"/>
                <w:tab w:pos="439" w:val="left" w:leader="none"/>
              </w:tabs>
              <w:spacing w:line="240" w:lineRule="auto" w:before="57" w:after="0"/>
              <w:ind w:left="439" w:right="372" w:hanging="361"/>
              <w:jc w:val="left"/>
              <w:rPr>
                <w:sz w:val="16"/>
              </w:rPr>
            </w:pPr>
            <w:r>
              <w:rPr>
                <w:sz w:val="16"/>
              </w:rPr>
              <w:t>Surveys and consultations with government stakeholders, service providers, children, young people, families and community members</w:t>
            </w:r>
          </w:p>
        </w:tc>
      </w:tr>
      <w:tr>
        <w:trPr>
          <w:trHeight w:val="453" w:hRule="atLeast"/>
        </w:trPr>
        <w:tc>
          <w:tcPr>
            <w:tcW w:w="2292" w:type="dxa"/>
            <w:tcBorders>
              <w:top w:val="single" w:sz="4" w:space="0" w:color="000000"/>
              <w:bottom w:val="single" w:sz="4" w:space="0" w:color="000000"/>
            </w:tcBorders>
            <w:shd w:val="clear" w:color="auto" w:fill="DFEFF8"/>
          </w:tcPr>
          <w:p>
            <w:pPr>
              <w:pStyle w:val="TableParagraph"/>
              <w:spacing w:before="57"/>
              <w:ind w:left="14"/>
              <w:rPr>
                <w:b/>
                <w:sz w:val="16"/>
              </w:rPr>
            </w:pPr>
            <w:r>
              <w:rPr>
                <w:b/>
                <w:sz w:val="16"/>
              </w:rPr>
              <w:t>Efficiency</w:t>
            </w:r>
          </w:p>
        </w:tc>
        <w:tc>
          <w:tcPr>
            <w:tcW w:w="7759" w:type="dxa"/>
            <w:tcBorders>
              <w:top w:val="single" w:sz="4" w:space="0" w:color="000000"/>
              <w:bottom w:val="single" w:sz="4" w:space="0" w:color="000000"/>
            </w:tcBorders>
            <w:shd w:val="clear" w:color="auto" w:fill="DFEFF8"/>
          </w:tcPr>
          <w:p>
            <w:pPr>
              <w:pStyle w:val="TableParagraph"/>
              <w:rPr>
                <w:rFonts w:ascii="Times New Roman"/>
                <w:sz w:val="16"/>
              </w:rPr>
            </w:pPr>
          </w:p>
        </w:tc>
        <w:tc>
          <w:tcPr>
            <w:tcW w:w="4353" w:type="dxa"/>
            <w:tcBorders>
              <w:top w:val="single" w:sz="4" w:space="0" w:color="000000"/>
              <w:bottom w:val="single" w:sz="4" w:space="0" w:color="000000"/>
            </w:tcBorders>
            <w:shd w:val="clear" w:color="auto" w:fill="DFEFF8"/>
          </w:tcPr>
          <w:p>
            <w:pPr>
              <w:pStyle w:val="TableParagraph"/>
              <w:rPr>
                <w:rFonts w:ascii="Times New Roman"/>
                <w:sz w:val="16"/>
              </w:rPr>
            </w:pPr>
          </w:p>
        </w:tc>
      </w:tr>
      <w:tr>
        <w:trPr>
          <w:trHeight w:val="455" w:hRule="atLeast"/>
        </w:trPr>
        <w:tc>
          <w:tcPr>
            <w:tcW w:w="14404" w:type="dxa"/>
            <w:gridSpan w:val="3"/>
            <w:tcBorders>
              <w:top w:val="single" w:sz="4" w:space="0" w:color="000000"/>
              <w:bottom w:val="single" w:sz="4" w:space="0" w:color="000000"/>
            </w:tcBorders>
            <w:shd w:val="clear" w:color="auto" w:fill="E2E2E3"/>
          </w:tcPr>
          <w:p>
            <w:pPr>
              <w:pStyle w:val="TableParagraph"/>
              <w:spacing w:before="57"/>
              <w:ind w:left="14"/>
              <w:rPr>
                <w:sz w:val="16"/>
              </w:rPr>
            </w:pPr>
            <w:r>
              <w:rPr>
                <w:b/>
                <w:sz w:val="16"/>
              </w:rPr>
              <w:t>Evaluation question 8</w:t>
            </w:r>
            <w:r>
              <w:rPr>
                <w:sz w:val="16"/>
              </w:rPr>
              <w:t>: How efficiently was the </w:t>
            </w:r>
            <w:r>
              <w:rPr>
                <w:i/>
                <w:sz w:val="16"/>
              </w:rPr>
              <w:t>Our Way </w:t>
            </w:r>
            <w:r>
              <w:rPr>
                <w:sz w:val="16"/>
              </w:rPr>
              <w:t>strategy implemented?</w:t>
            </w:r>
          </w:p>
        </w:tc>
      </w:tr>
      <w:tr>
        <w:trPr>
          <w:trHeight w:val="1476" w:hRule="atLeast"/>
        </w:trPr>
        <w:tc>
          <w:tcPr>
            <w:tcW w:w="2292" w:type="dxa"/>
            <w:tcBorders>
              <w:top w:val="single" w:sz="4" w:space="0" w:color="000000"/>
              <w:bottom w:val="single" w:sz="4" w:space="0" w:color="000000"/>
            </w:tcBorders>
          </w:tcPr>
          <w:p>
            <w:pPr>
              <w:pStyle w:val="TableParagraph"/>
              <w:rPr>
                <w:rFonts w:ascii="Times New Roman"/>
                <w:sz w:val="16"/>
              </w:rPr>
            </w:pPr>
          </w:p>
        </w:tc>
        <w:tc>
          <w:tcPr>
            <w:tcW w:w="7759" w:type="dxa"/>
            <w:tcBorders>
              <w:top w:val="single" w:sz="4" w:space="0" w:color="000000"/>
              <w:bottom w:val="single" w:sz="4" w:space="0" w:color="000000"/>
            </w:tcBorders>
          </w:tcPr>
          <w:p>
            <w:pPr>
              <w:pStyle w:val="TableParagraph"/>
              <w:numPr>
                <w:ilvl w:val="0"/>
                <w:numId w:val="97"/>
              </w:numPr>
              <w:tabs>
                <w:tab w:pos="750" w:val="left" w:leader="none"/>
              </w:tabs>
              <w:spacing w:line="240" w:lineRule="auto" w:before="57" w:after="0"/>
              <w:ind w:left="749" w:right="0" w:hanging="361"/>
              <w:jc w:val="left"/>
              <w:rPr>
                <w:sz w:val="16"/>
              </w:rPr>
            </w:pPr>
            <w:r>
              <w:rPr>
                <w:sz w:val="16"/>
              </w:rPr>
              <w:t>The extent to which programs / services (delivered as part of the action plans)</w:t>
            </w:r>
            <w:r>
              <w:rPr>
                <w:spacing w:val="-21"/>
                <w:sz w:val="16"/>
              </w:rPr>
              <w:t> </w:t>
            </w:r>
            <w:r>
              <w:rPr>
                <w:sz w:val="16"/>
              </w:rPr>
              <w:t>are:</w:t>
            </w:r>
          </w:p>
          <w:p>
            <w:pPr>
              <w:pStyle w:val="TableParagraph"/>
              <w:numPr>
                <w:ilvl w:val="1"/>
                <w:numId w:val="97"/>
              </w:numPr>
              <w:tabs>
                <w:tab w:pos="1469" w:val="left" w:leader="none"/>
                <w:tab w:pos="1470" w:val="left" w:leader="none"/>
              </w:tabs>
              <w:spacing w:line="202" w:lineRule="exact" w:before="0" w:after="0"/>
              <w:ind w:left="1469" w:right="0" w:hanging="361"/>
              <w:jc w:val="left"/>
              <w:rPr>
                <w:sz w:val="16"/>
              </w:rPr>
            </w:pPr>
            <w:r>
              <w:rPr>
                <w:sz w:val="16"/>
              </w:rPr>
              <w:t>delivered at the lowest possible cost (technical or productive</w:t>
            </w:r>
            <w:r>
              <w:rPr>
                <w:spacing w:val="-11"/>
                <w:sz w:val="16"/>
              </w:rPr>
              <w:t> </w:t>
            </w:r>
            <w:r>
              <w:rPr>
                <w:sz w:val="16"/>
              </w:rPr>
              <w:t>efficiency),</w:t>
            </w:r>
          </w:p>
          <w:p>
            <w:pPr>
              <w:pStyle w:val="TableParagraph"/>
              <w:numPr>
                <w:ilvl w:val="1"/>
                <w:numId w:val="97"/>
              </w:numPr>
              <w:tabs>
                <w:tab w:pos="1469" w:val="left" w:leader="none"/>
                <w:tab w:pos="1470" w:val="left" w:leader="none"/>
              </w:tabs>
              <w:spacing w:line="195" w:lineRule="exact" w:before="0" w:after="0"/>
              <w:ind w:left="1469" w:right="0" w:hanging="361"/>
              <w:jc w:val="left"/>
              <w:rPr>
                <w:sz w:val="16"/>
              </w:rPr>
            </w:pPr>
            <w:r>
              <w:rPr>
                <w:sz w:val="16"/>
              </w:rPr>
              <w:t>delivered to the areas of greatest need (allocative efficiency);</w:t>
            </w:r>
            <w:r>
              <w:rPr>
                <w:spacing w:val="-11"/>
                <w:sz w:val="16"/>
              </w:rPr>
              <w:t> </w:t>
            </w:r>
            <w:r>
              <w:rPr>
                <w:sz w:val="16"/>
              </w:rPr>
              <w:t>and</w:t>
            </w:r>
          </w:p>
          <w:p>
            <w:pPr>
              <w:pStyle w:val="TableParagraph"/>
              <w:numPr>
                <w:ilvl w:val="1"/>
                <w:numId w:val="97"/>
              </w:numPr>
              <w:tabs>
                <w:tab w:pos="1469" w:val="left" w:leader="none"/>
                <w:tab w:pos="1470" w:val="left" w:leader="none"/>
              </w:tabs>
              <w:spacing w:line="223" w:lineRule="auto" w:before="3" w:after="0"/>
              <w:ind w:left="1469" w:right="86" w:hanging="360"/>
              <w:jc w:val="left"/>
              <w:rPr>
                <w:sz w:val="16"/>
              </w:rPr>
            </w:pPr>
            <w:r>
              <w:rPr>
                <w:sz w:val="16"/>
              </w:rPr>
              <w:t>continuously realising efficiency gains by finding better or lower cost ways to deliver outcomes (dynamic</w:t>
            </w:r>
            <w:r>
              <w:rPr>
                <w:spacing w:val="-2"/>
                <w:sz w:val="16"/>
              </w:rPr>
              <w:t> </w:t>
            </w:r>
            <w:r>
              <w:rPr>
                <w:sz w:val="16"/>
              </w:rPr>
              <w:t>efficiency).</w:t>
            </w:r>
          </w:p>
          <w:p>
            <w:pPr>
              <w:pStyle w:val="TableParagraph"/>
              <w:numPr>
                <w:ilvl w:val="0"/>
                <w:numId w:val="97"/>
              </w:numPr>
              <w:tabs>
                <w:tab w:pos="750" w:val="left" w:leader="none"/>
              </w:tabs>
              <w:spacing w:line="240" w:lineRule="auto" w:before="2" w:after="0"/>
              <w:ind w:left="749" w:right="103" w:hanging="360"/>
              <w:jc w:val="left"/>
              <w:rPr>
                <w:sz w:val="16"/>
              </w:rPr>
            </w:pPr>
            <w:r>
              <w:rPr>
                <w:sz w:val="16"/>
              </w:rPr>
              <w:t>The extent to which the benefits of programs / services distributed in an equitable manner among Aboriginal and Torres Strait Islander peoples in different</w:t>
            </w:r>
            <w:r>
              <w:rPr>
                <w:spacing w:val="-23"/>
                <w:sz w:val="16"/>
              </w:rPr>
              <w:t> </w:t>
            </w:r>
            <w:r>
              <w:rPr>
                <w:sz w:val="16"/>
              </w:rPr>
              <w:t>communities</w:t>
            </w:r>
          </w:p>
        </w:tc>
        <w:tc>
          <w:tcPr>
            <w:tcW w:w="4353" w:type="dxa"/>
            <w:tcBorders>
              <w:top w:val="single" w:sz="4" w:space="0" w:color="000000"/>
              <w:bottom w:val="single" w:sz="4" w:space="0" w:color="000000"/>
            </w:tcBorders>
          </w:tcPr>
          <w:p>
            <w:pPr>
              <w:pStyle w:val="TableParagraph"/>
              <w:numPr>
                <w:ilvl w:val="0"/>
                <w:numId w:val="98"/>
              </w:numPr>
              <w:tabs>
                <w:tab w:pos="438" w:val="left" w:leader="none"/>
                <w:tab w:pos="439" w:val="left" w:leader="none"/>
              </w:tabs>
              <w:spacing w:line="240" w:lineRule="auto" w:before="57" w:after="0"/>
              <w:ind w:left="439" w:right="133" w:hanging="361"/>
              <w:jc w:val="left"/>
              <w:rPr>
                <w:sz w:val="16"/>
              </w:rPr>
            </w:pPr>
            <w:r>
              <w:rPr>
                <w:sz w:val="16"/>
              </w:rPr>
              <w:t>Policy documentation on funding and access to initiatives</w:t>
            </w:r>
          </w:p>
          <w:p>
            <w:pPr>
              <w:pStyle w:val="TableParagraph"/>
              <w:numPr>
                <w:ilvl w:val="0"/>
                <w:numId w:val="98"/>
              </w:numPr>
              <w:tabs>
                <w:tab w:pos="438" w:val="left" w:leader="none"/>
                <w:tab w:pos="439" w:val="left" w:leader="none"/>
              </w:tabs>
              <w:spacing w:line="240" w:lineRule="auto" w:before="0" w:after="0"/>
              <w:ind w:left="439" w:right="372" w:hanging="361"/>
              <w:jc w:val="left"/>
              <w:rPr>
                <w:sz w:val="16"/>
              </w:rPr>
            </w:pPr>
            <w:r>
              <w:rPr>
                <w:sz w:val="16"/>
              </w:rPr>
              <w:t>Surveys and consultations with government stakeholders and service</w:t>
            </w:r>
            <w:r>
              <w:rPr>
                <w:spacing w:val="-6"/>
                <w:sz w:val="16"/>
              </w:rPr>
              <w:t> </w:t>
            </w:r>
            <w:r>
              <w:rPr>
                <w:sz w:val="16"/>
              </w:rPr>
              <w:t>providers</w:t>
            </w:r>
          </w:p>
        </w:tc>
      </w:tr>
      <w:tr>
        <w:trPr>
          <w:trHeight w:val="453" w:hRule="atLeast"/>
        </w:trPr>
        <w:tc>
          <w:tcPr>
            <w:tcW w:w="10051" w:type="dxa"/>
            <w:gridSpan w:val="2"/>
            <w:tcBorders>
              <w:top w:val="single" w:sz="4" w:space="0" w:color="000000"/>
              <w:bottom w:val="single" w:sz="4" w:space="0" w:color="000000"/>
            </w:tcBorders>
            <w:shd w:val="clear" w:color="auto" w:fill="DFEFF8"/>
          </w:tcPr>
          <w:p>
            <w:pPr>
              <w:pStyle w:val="TableParagraph"/>
              <w:spacing w:before="55"/>
              <w:ind w:left="14"/>
              <w:rPr>
                <w:b/>
                <w:sz w:val="16"/>
              </w:rPr>
            </w:pPr>
            <w:r>
              <w:rPr>
                <w:b/>
                <w:sz w:val="16"/>
              </w:rPr>
              <w:t>Future areas of improvement</w:t>
            </w:r>
          </w:p>
        </w:tc>
        <w:tc>
          <w:tcPr>
            <w:tcW w:w="4353" w:type="dxa"/>
            <w:tcBorders>
              <w:top w:val="single" w:sz="4" w:space="0" w:color="000000"/>
              <w:bottom w:val="single" w:sz="4" w:space="0" w:color="000000"/>
            </w:tcBorders>
            <w:shd w:val="clear" w:color="auto" w:fill="DFEFF8"/>
          </w:tcPr>
          <w:p>
            <w:pPr>
              <w:pStyle w:val="TableParagraph"/>
              <w:rPr>
                <w:rFonts w:ascii="Times New Roman"/>
                <w:sz w:val="16"/>
              </w:rPr>
            </w:pPr>
          </w:p>
        </w:tc>
      </w:tr>
    </w:tbl>
    <w:p>
      <w:pPr>
        <w:spacing w:after="0"/>
        <w:rPr>
          <w:rFonts w:ascii="Times New Roman"/>
          <w:sz w:val="16"/>
        </w:rPr>
        <w:sectPr>
          <w:pgSz w:w="16840" w:h="11910" w:orient="landscape"/>
          <w:pgMar w:header="650" w:footer="420" w:top="1180" w:bottom="620" w:left="880" w:right="1320"/>
        </w:sectPr>
      </w:pPr>
    </w:p>
    <w:p>
      <w:pPr>
        <w:pStyle w:val="BodyText"/>
        <w:spacing w:before="4"/>
        <w:rPr>
          <w:sz w:val="21"/>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2"/>
        <w:gridCol w:w="7715"/>
        <w:gridCol w:w="4524"/>
      </w:tblGrid>
      <w:tr>
        <w:trPr>
          <w:trHeight w:val="453" w:hRule="atLeast"/>
        </w:trPr>
        <w:tc>
          <w:tcPr>
            <w:tcW w:w="2162" w:type="dxa"/>
            <w:tcBorders>
              <w:top w:val="single" w:sz="4" w:space="0" w:color="61B5E4"/>
              <w:bottom w:val="single" w:sz="4" w:space="0" w:color="000000"/>
            </w:tcBorders>
          </w:tcPr>
          <w:p>
            <w:pPr>
              <w:pStyle w:val="TableParagraph"/>
              <w:spacing w:before="57"/>
              <w:ind w:left="71"/>
              <w:rPr>
                <w:b/>
                <w:sz w:val="16"/>
              </w:rPr>
            </w:pPr>
            <w:r>
              <w:rPr>
                <w:b/>
                <w:sz w:val="16"/>
              </w:rPr>
              <w:t>Evaluation focus</w:t>
            </w:r>
          </w:p>
        </w:tc>
        <w:tc>
          <w:tcPr>
            <w:tcW w:w="7715" w:type="dxa"/>
            <w:tcBorders>
              <w:top w:val="single" w:sz="4" w:space="0" w:color="61B5E4"/>
              <w:bottom w:val="single" w:sz="4" w:space="0" w:color="000000"/>
            </w:tcBorders>
          </w:tcPr>
          <w:p>
            <w:pPr>
              <w:pStyle w:val="TableParagraph"/>
              <w:spacing w:before="57"/>
              <w:ind w:left="605"/>
              <w:rPr>
                <w:b/>
                <w:sz w:val="16"/>
              </w:rPr>
            </w:pPr>
            <w:r>
              <w:rPr>
                <w:b/>
                <w:sz w:val="16"/>
              </w:rPr>
              <w:t>Suggested indictors</w:t>
            </w:r>
          </w:p>
        </w:tc>
        <w:tc>
          <w:tcPr>
            <w:tcW w:w="4524" w:type="dxa"/>
            <w:tcBorders>
              <w:top w:val="single" w:sz="4" w:space="0" w:color="61B5E4"/>
              <w:bottom w:val="single" w:sz="4" w:space="0" w:color="000000"/>
            </w:tcBorders>
          </w:tcPr>
          <w:p>
            <w:pPr>
              <w:pStyle w:val="TableParagraph"/>
              <w:spacing w:before="57"/>
              <w:ind w:left="278"/>
              <w:rPr>
                <w:b/>
                <w:sz w:val="16"/>
              </w:rPr>
            </w:pPr>
            <w:r>
              <w:rPr>
                <w:b/>
                <w:sz w:val="16"/>
              </w:rPr>
              <w:t>Suggested data sources</w:t>
            </w:r>
          </w:p>
        </w:tc>
      </w:tr>
      <w:tr>
        <w:trPr>
          <w:trHeight w:val="455" w:hRule="atLeast"/>
        </w:trPr>
        <w:tc>
          <w:tcPr>
            <w:tcW w:w="14401" w:type="dxa"/>
            <w:gridSpan w:val="3"/>
            <w:tcBorders>
              <w:top w:val="single" w:sz="4" w:space="0" w:color="000000"/>
              <w:bottom w:val="single" w:sz="4" w:space="0" w:color="000000"/>
            </w:tcBorders>
            <w:shd w:val="clear" w:color="auto" w:fill="E2E2E3"/>
          </w:tcPr>
          <w:p>
            <w:pPr>
              <w:pStyle w:val="TableParagraph"/>
              <w:spacing w:before="57"/>
              <w:ind w:left="14"/>
              <w:rPr>
                <w:sz w:val="16"/>
              </w:rPr>
            </w:pPr>
            <w:r>
              <w:rPr>
                <w:b/>
                <w:sz w:val="16"/>
              </w:rPr>
              <w:t>Evaluation question 9</w:t>
            </w:r>
            <w:r>
              <w:rPr>
                <w:sz w:val="16"/>
              </w:rPr>
              <w:t>: What further action is needed to sustain positive outcomes and drive continuous improvement and achievement of outcomes?</w:t>
            </w:r>
          </w:p>
        </w:tc>
      </w:tr>
      <w:tr>
        <w:trPr>
          <w:trHeight w:val="1281" w:hRule="atLeast"/>
        </w:trPr>
        <w:tc>
          <w:tcPr>
            <w:tcW w:w="2162" w:type="dxa"/>
            <w:tcBorders>
              <w:top w:val="single" w:sz="4" w:space="0" w:color="000000"/>
              <w:bottom w:val="single" w:sz="4" w:space="0" w:color="000000"/>
            </w:tcBorders>
          </w:tcPr>
          <w:p>
            <w:pPr>
              <w:pStyle w:val="TableParagraph"/>
              <w:rPr>
                <w:rFonts w:ascii="Times New Roman"/>
                <w:sz w:val="14"/>
              </w:rPr>
            </w:pPr>
          </w:p>
        </w:tc>
        <w:tc>
          <w:tcPr>
            <w:tcW w:w="7715" w:type="dxa"/>
            <w:tcBorders>
              <w:top w:val="single" w:sz="4" w:space="0" w:color="000000"/>
              <w:bottom w:val="single" w:sz="4" w:space="0" w:color="000000"/>
            </w:tcBorders>
          </w:tcPr>
          <w:p>
            <w:pPr>
              <w:pStyle w:val="TableParagraph"/>
              <w:numPr>
                <w:ilvl w:val="0"/>
                <w:numId w:val="99"/>
              </w:numPr>
              <w:tabs>
                <w:tab w:pos="880" w:val="left" w:leader="none"/>
              </w:tabs>
              <w:spacing w:line="240" w:lineRule="auto" w:before="57" w:after="0"/>
              <w:ind w:left="879" w:right="249" w:hanging="360"/>
              <w:jc w:val="left"/>
              <w:rPr>
                <w:sz w:val="16"/>
              </w:rPr>
            </w:pPr>
            <w:r>
              <w:rPr>
                <w:sz w:val="16"/>
              </w:rPr>
              <w:t>What are the recommended improvements to the following aspects of Action Plan design and</w:t>
            </w:r>
            <w:r>
              <w:rPr>
                <w:spacing w:val="-2"/>
                <w:sz w:val="16"/>
              </w:rPr>
              <w:t> </w:t>
            </w:r>
            <w:r>
              <w:rPr>
                <w:sz w:val="16"/>
              </w:rPr>
              <w:t>implementation:</w:t>
            </w:r>
          </w:p>
          <w:p>
            <w:pPr>
              <w:pStyle w:val="TableParagraph"/>
              <w:numPr>
                <w:ilvl w:val="1"/>
                <w:numId w:val="99"/>
              </w:numPr>
              <w:tabs>
                <w:tab w:pos="1599" w:val="left" w:leader="none"/>
                <w:tab w:pos="1600" w:val="left" w:leader="none"/>
              </w:tabs>
              <w:spacing w:line="202" w:lineRule="exact" w:before="0" w:after="0"/>
              <w:ind w:left="1599" w:right="0" w:hanging="361"/>
              <w:jc w:val="left"/>
              <w:rPr>
                <w:sz w:val="16"/>
              </w:rPr>
            </w:pPr>
            <w:r>
              <w:rPr>
                <w:sz w:val="16"/>
              </w:rPr>
              <w:t>The design of individual</w:t>
            </w:r>
            <w:r>
              <w:rPr>
                <w:spacing w:val="-3"/>
                <w:sz w:val="16"/>
              </w:rPr>
              <w:t> </w:t>
            </w:r>
            <w:r>
              <w:rPr>
                <w:sz w:val="16"/>
              </w:rPr>
              <w:t>actions</w:t>
            </w:r>
          </w:p>
          <w:p>
            <w:pPr>
              <w:pStyle w:val="TableParagraph"/>
              <w:numPr>
                <w:ilvl w:val="1"/>
                <w:numId w:val="99"/>
              </w:numPr>
              <w:tabs>
                <w:tab w:pos="1599" w:val="left" w:leader="none"/>
                <w:tab w:pos="1600" w:val="left" w:leader="none"/>
              </w:tabs>
              <w:spacing w:line="194" w:lineRule="exact" w:before="0" w:after="0"/>
              <w:ind w:left="1599" w:right="0" w:hanging="361"/>
              <w:jc w:val="left"/>
              <w:rPr>
                <w:sz w:val="16"/>
              </w:rPr>
            </w:pPr>
            <w:r>
              <w:rPr>
                <w:sz w:val="16"/>
              </w:rPr>
              <w:t>The fidelity of Action Plan</w:t>
            </w:r>
            <w:r>
              <w:rPr>
                <w:spacing w:val="-3"/>
                <w:sz w:val="16"/>
              </w:rPr>
              <w:t> </w:t>
            </w:r>
            <w:r>
              <w:rPr>
                <w:sz w:val="16"/>
              </w:rPr>
              <w:t>implementation</w:t>
            </w:r>
          </w:p>
          <w:p>
            <w:pPr>
              <w:pStyle w:val="TableParagraph"/>
              <w:numPr>
                <w:ilvl w:val="1"/>
                <w:numId w:val="99"/>
              </w:numPr>
              <w:tabs>
                <w:tab w:pos="1599" w:val="left" w:leader="none"/>
                <w:tab w:pos="1600" w:val="left" w:leader="none"/>
              </w:tabs>
              <w:spacing w:line="223" w:lineRule="auto" w:before="3" w:after="0"/>
              <w:ind w:left="1599" w:right="379" w:hanging="360"/>
              <w:jc w:val="left"/>
              <w:rPr>
                <w:sz w:val="16"/>
              </w:rPr>
            </w:pPr>
            <w:r>
              <w:rPr>
                <w:sz w:val="16"/>
              </w:rPr>
              <w:t>The achievement of intended outcomes for Aboriginal and Torres Strait Islander</w:t>
            </w:r>
            <w:r>
              <w:rPr>
                <w:spacing w:val="-2"/>
                <w:sz w:val="16"/>
              </w:rPr>
              <w:t> </w:t>
            </w:r>
            <w:r>
              <w:rPr>
                <w:sz w:val="16"/>
              </w:rPr>
              <w:t>communities</w:t>
            </w:r>
          </w:p>
        </w:tc>
        <w:tc>
          <w:tcPr>
            <w:tcW w:w="4524" w:type="dxa"/>
            <w:tcBorders>
              <w:top w:val="single" w:sz="4" w:space="0" w:color="000000"/>
              <w:bottom w:val="single" w:sz="4" w:space="0" w:color="000000"/>
            </w:tcBorders>
          </w:tcPr>
          <w:p>
            <w:pPr>
              <w:pStyle w:val="TableParagraph"/>
              <w:numPr>
                <w:ilvl w:val="0"/>
                <w:numId w:val="100"/>
              </w:numPr>
              <w:tabs>
                <w:tab w:pos="612" w:val="left" w:leader="none"/>
                <w:tab w:pos="613" w:val="left" w:leader="none"/>
              </w:tabs>
              <w:spacing w:line="240" w:lineRule="auto" w:before="57" w:after="0"/>
              <w:ind w:left="613" w:right="369" w:hanging="361"/>
              <w:jc w:val="left"/>
              <w:rPr>
                <w:sz w:val="16"/>
              </w:rPr>
            </w:pPr>
            <w:r>
              <w:rPr>
                <w:sz w:val="16"/>
              </w:rPr>
              <w:t>Surveys and consultations with government stakeholders, service providers, children, young people, families and community members</w:t>
            </w:r>
          </w:p>
        </w:tc>
      </w:tr>
    </w:tbl>
    <w:p>
      <w:pPr>
        <w:spacing w:after="0" w:line="240" w:lineRule="auto"/>
        <w:jc w:val="left"/>
        <w:rPr>
          <w:sz w:val="16"/>
        </w:rPr>
        <w:sectPr>
          <w:pgSz w:w="16840" w:h="11910" w:orient="landscape"/>
          <w:pgMar w:header="650" w:footer="420" w:top="1180" w:bottom="620" w:left="880" w:right="1320"/>
        </w:sectPr>
      </w:pPr>
    </w:p>
    <w:p>
      <w:pPr>
        <w:pStyle w:val="BodyText"/>
        <w:rPr>
          <w:sz w:val="20"/>
        </w:rPr>
      </w:pPr>
      <w:r>
        <w:rPr/>
        <w:pict>
          <v:shape style="position:absolute;margin-left:72.024002pt;margin-top:34.042599pt;width:141.3pt;height:786.65pt;mso-position-horizontal-relative:page;mso-position-vertical-relative:page;z-index:-258102272" type="#_x0000_t202" filled="false" stroked="false">
            <v:textbox inset="0,0,0,0">
              <w:txbxContent>
                <w:p>
                  <w:pPr>
                    <w:spacing w:line="169" w:lineRule="exact" w:before="0"/>
                    <w:ind w:left="0" w:right="0" w:firstLine="0"/>
                    <w:jc w:val="left"/>
                    <w:rPr>
                      <w:i/>
                      <w:sz w:val="14"/>
                    </w:rPr>
                  </w:pPr>
                  <w:r>
                    <w:rPr>
                      <w:i/>
                      <w:sz w:val="14"/>
                    </w:rPr>
                    <w:t>Our Way Changing Tracks – Final</w:t>
                  </w:r>
                  <w:r>
                    <w:rPr>
                      <w:i/>
                      <w:spacing w:val="-12"/>
                      <w:sz w:val="14"/>
                    </w:rPr>
                    <w:t> </w:t>
                  </w:r>
                  <w:r>
                    <w:rPr>
                      <w:i/>
                      <w:sz w:val="14"/>
                    </w:rPr>
                    <w:t>report</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7"/>
                    <w:rPr>
                      <w:i/>
                      <w:sz w:val="16"/>
                    </w:rPr>
                  </w:pPr>
                </w:p>
                <w:p>
                  <w:pPr>
                    <w:spacing w:before="0"/>
                    <w:ind w:left="0" w:right="0" w:firstLine="0"/>
                    <w:jc w:val="left"/>
                    <w:rPr>
                      <w:sz w:val="16"/>
                    </w:rPr>
                  </w:pPr>
                  <w:r>
                    <w:rPr>
                      <w:sz w:val="16"/>
                    </w:rPr>
                    <w:t>79</w:t>
                  </w:r>
                </w:p>
              </w:txbxContent>
            </v:textbox>
            <w10:wrap type="none"/>
          </v:shape>
        </w:pict>
      </w:r>
      <w:r>
        <w:rPr/>
        <w:pict>
          <v:rect style="position:absolute;margin-left:0pt;margin-top:0pt;width:595.320pt;height:841.9198pt;mso-position-horizontal-relative:page;mso-position-vertical-relative:page;z-index:-258101248" filled="true" fillcolor="#ffffff"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14"/>
        </w:rPr>
      </w:pPr>
    </w:p>
    <w:p>
      <w:pPr>
        <w:pStyle w:val="BodyText"/>
        <w:ind w:left="101"/>
        <w:rPr>
          <w:sz w:val="20"/>
        </w:rPr>
      </w:pPr>
      <w:r>
        <w:rPr>
          <w:sz w:val="20"/>
        </w:rPr>
        <w:pict>
          <v:group style="width:143.6pt;height:26.85pt;mso-position-horizontal-relative:char;mso-position-vertical-relative:line" coordorigin="0,0" coordsize="2872,537">
            <v:shape style="position:absolute;left:2719;top:384;width:152;height:152" type="#_x0000_t75" stroked="false">
              <v:imagedata r:id="rId103" o:title=""/>
            </v:shape>
            <v:line style="position:absolute" from="962,0" to="962,528" stroked="true" strokeweight="6.632646pt" strokecolor="#000000">
              <v:stroke dashstyle="solid"/>
            </v:line>
            <v:shape style="position:absolute;left:1080;top:129;width:383;height:407" coordorigin="1081,129" coordsize="383,407" path="m1272,129l1230,132,1192,142,1159,159,1131,182,1109,211,1093,246,1084,286,1081,332,1084,376,1093,416,1109,450,1131,480,1159,504,1192,522,1229,532,1271,535,1314,532,1352,522,1384,505,1412,481,1434,452,1442,435,1272,435,1258,434,1245,428,1235,420,1228,409,1222,394,1218,376,1215,355,1214,332,1215,308,1218,287,1222,270,1228,256,1235,245,1245,237,1257,232,1271,230,1442,230,1440,224,1426,202,1411,183,1393,167,1372,153,1350,143,1326,135,1300,131,1272,129xm1442,230l1271,230,1285,232,1298,237,1308,245,1316,256,1321,270,1325,287,1327,308,1328,332,1327,355,1325,376,1321,394,1316,409,1308,420,1298,428,1286,434,1272,435,1442,435,1450,417,1460,377,1463,332,1461,302,1457,274,1450,248,1442,230xe" filled="true" fillcolor="#000000" stroked="false">
              <v:path arrowok="t"/>
              <v:fill type="solid"/>
            </v:shape>
            <v:line style="position:absolute" from="1582,136" to="1582,528" stroked="true" strokeweight="6.572206pt" strokecolor="#000000">
              <v:stroke dashstyle="solid"/>
            </v:line>
            <v:rect style="position:absolute;left:1515;top:0;width:132;height:89" filled="true" fillcolor="#000000" stroked="false">
              <v:fill type="solid"/>
            </v:rect>
            <v:shape style="position:absolute;left:1700;top:12;width:280;height:524" coordorigin="1700,12" coordsize="280,524" path="m1880,238l1746,238,1746,399,1748,431,1754,459,1763,483,1776,502,1793,517,1814,527,1841,533,1872,535,1887,535,1902,534,1916,533,1928,531,1941,527,1954,524,1967,519,1980,514,1980,428,1916,428,1900,426,1889,419,1882,407,1880,391,1880,238xm1980,415l1962,420,1945,425,1930,427,1916,428,1980,428,1980,415xm1964,136l1700,136,1700,238,1964,238,1964,136xm1880,12l1746,36,1746,136,1880,136,1880,12xe" filled="true" fillcolor="#000000" stroked="false">
              <v:path arrowok="t"/>
              <v:fill type="solid"/>
            </v:shape>
            <v:shape style="position:absolute;left:2006;top:12;width:279;height:524" coordorigin="2007,12" coordsize="279,524" path="m2186,238l2052,238,2052,399,2054,431,2060,459,2069,483,2083,502,2099,517,2121,527,2147,533,2178,535,2194,535,2208,534,2222,533,2235,531,2247,527,2260,524,2273,519,2285,514,2285,428,2221,428,2206,426,2195,419,2189,407,2186,391,2186,238xm2285,415l2268,420,2251,425,2236,427,2221,428,2285,428,2285,415xm2271,136l2007,136,2007,238,2271,238,2271,136xm2186,12l2052,34,2052,136,2186,136,2186,12xe" filled="true" fillcolor="#000000" stroked="false">
              <v:path arrowok="t"/>
              <v:fill type="solid"/>
            </v:shape>
            <v:shape style="position:absolute;left:2316;top:129;width:371;height:407" coordorigin="2317,129" coordsize="371,407" path="m2506,129l2463,132,2425,142,2393,159,2366,182,2344,211,2329,247,2320,288,2317,335,2320,380,2330,420,2346,455,2370,484,2399,506,2433,523,2473,532,2518,535,2540,535,2560,534,2580,532,2598,529,2614,525,2630,520,2646,514,2661,507,2646,439,2534,439,2516,438,2499,434,2485,429,2473,421,2464,410,2456,398,2452,384,2450,369,2687,369,2687,309,2685,283,2453,283,2455,268,2458,255,2464,245,2471,236,2480,230,2489,225,2499,222,2511,221,2670,221,2660,201,2640,175,2614,155,2583,141,2547,132,2506,129xm2641,418l2630,423,2619,426,2608,430,2583,435,2567,437,2551,439,2534,439,2646,439,2641,418xm2670,221l2511,221,2523,222,2533,225,2543,230,2551,238,2557,247,2562,258,2565,270,2566,283,2685,283,2684,268,2675,232,2670,221xe" filled="true" fillcolor="#000000" stroked="false">
              <v:path arrowok="t"/>
              <v:fill type="solid"/>
            </v:shape>
            <v:shape style="position:absolute;left:0;top:2;width:436;height:526" coordorigin="0,2" coordsize="436,526" path="m177,2l0,2,0,528,166,528,227,524,280,510,327,488,365,457,396,418,399,411,139,411,139,117,405,117,398,103,369,68,331,39,287,19,236,7,177,2xm405,117l178,117,205,119,229,126,248,137,264,152,276,172,285,196,290,225,292,259,290,296,284,327,275,353,262,374,245,390,224,402,199,409,170,411,399,411,418,371,431,317,435,254,431,197,419,146,405,117xe" filled="true" fillcolor="#000000" stroked="false">
              <v:path arrowok="t"/>
              <v:fill type="solid"/>
            </v:shape>
            <v:shape style="position:absolute;left:475;top:129;width:371;height:407" coordorigin="475,129" coordsize="371,407" path="m664,129l621,132,584,142,552,159,525,182,503,211,488,247,478,288,475,335,479,380,489,420,505,455,528,484,557,506,592,523,631,532,677,535,699,535,720,534,739,532,756,529,772,525,789,520,804,514,820,507,804,439,692,439,674,438,658,434,644,429,632,421,622,410,615,398,611,384,609,369,845,369,845,309,844,283,611,283,614,268,618,255,623,245,630,236,638,230,648,225,658,222,669,221,828,221,819,201,798,175,772,155,741,141,705,132,664,129xm800,418l789,423,778,426,767,430,757,432,742,435,726,437,710,439,692,439,804,439,800,418xm828,221l669,221,681,222,692,225,701,230,709,238,716,247,721,258,724,270,725,283,844,283,842,268,834,232,828,221xe" filled="true" fillcolor="#000000" stroked="false">
              <v:path arrowok="t"/>
              <v:fill type="solid"/>
            </v:shape>
          </v:group>
        </w:pict>
      </w:r>
      <w:r>
        <w:rPr>
          <w:sz w:val="20"/>
        </w:rPr>
      </w:r>
    </w:p>
    <w:p>
      <w:pPr>
        <w:pStyle w:val="BodyText"/>
        <w:rPr>
          <w:sz w:val="20"/>
        </w:rPr>
      </w:pPr>
    </w:p>
    <w:p>
      <w:pPr>
        <w:pStyle w:val="BodyText"/>
        <w:rPr>
          <w:sz w:val="20"/>
        </w:rPr>
      </w:pPr>
    </w:p>
    <w:p>
      <w:pPr>
        <w:pStyle w:val="BodyText"/>
        <w:rPr>
          <w:sz w:val="20"/>
        </w:rPr>
      </w:pPr>
    </w:p>
    <w:p>
      <w:pPr>
        <w:pStyle w:val="BodyText"/>
        <w:spacing w:before="11"/>
        <w:rPr>
          <w:sz w:val="14"/>
        </w:rPr>
      </w:pPr>
    </w:p>
    <w:p>
      <w:pPr>
        <w:spacing w:line="254" w:lineRule="auto" w:before="99"/>
        <w:ind w:left="100" w:right="7273" w:firstLine="0"/>
        <w:jc w:val="left"/>
        <w:rPr>
          <w:sz w:val="14"/>
        </w:rPr>
      </w:pPr>
      <w:r>
        <w:rPr>
          <w:sz w:val="14"/>
        </w:rPr>
        <w:t>Deloitte Access Economics CAN: 149 633 116</w:t>
      </w:r>
    </w:p>
    <w:p>
      <w:pPr>
        <w:spacing w:line="169" w:lineRule="exact" w:before="0"/>
        <w:ind w:left="100" w:right="0" w:firstLine="0"/>
        <w:jc w:val="left"/>
        <w:rPr>
          <w:sz w:val="14"/>
        </w:rPr>
      </w:pPr>
      <w:r>
        <w:rPr>
          <w:sz w:val="14"/>
        </w:rPr>
        <w:t>Level 23, 123 Eagle Street</w:t>
      </w:r>
    </w:p>
    <w:p>
      <w:pPr>
        <w:spacing w:before="10"/>
        <w:ind w:left="100" w:right="0" w:firstLine="0"/>
        <w:jc w:val="left"/>
        <w:rPr>
          <w:sz w:val="14"/>
        </w:rPr>
      </w:pPr>
      <w:r>
        <w:rPr>
          <w:sz w:val="14"/>
        </w:rPr>
        <w:t>Brisbane QLD 4000</w:t>
      </w:r>
    </w:p>
    <w:p>
      <w:pPr>
        <w:pStyle w:val="BodyText"/>
        <w:spacing w:before="7"/>
        <w:rPr>
          <w:sz w:val="15"/>
        </w:rPr>
      </w:pPr>
    </w:p>
    <w:p>
      <w:pPr>
        <w:spacing w:line="254" w:lineRule="auto" w:before="0"/>
        <w:ind w:left="100" w:right="167" w:firstLine="0"/>
        <w:jc w:val="left"/>
        <w:rPr>
          <w:sz w:val="14"/>
        </w:rPr>
      </w:pPr>
      <w:r>
        <w:rPr>
          <w:sz w:val="14"/>
        </w:rPr>
        <w:t>Deloitte Access Economics is Australia’s pre-eminent economics advisory practice and a member of Deloitte's global economics group. For more information, please visit our website: </w:t>
      </w:r>
      <w:hyperlink r:id="rId104">
        <w:r>
          <w:rPr>
            <w:color w:val="00A2DF"/>
            <w:sz w:val="14"/>
            <w:u w:val="single" w:color="00A2DF"/>
          </w:rPr>
          <w:t>www.deloitte.com/au/deloitte-access-economics</w:t>
        </w:r>
      </w:hyperlink>
    </w:p>
    <w:p>
      <w:pPr>
        <w:pStyle w:val="BodyText"/>
        <w:rPr>
          <w:sz w:val="14"/>
        </w:rPr>
      </w:pPr>
    </w:p>
    <w:p>
      <w:pPr>
        <w:spacing w:before="0"/>
        <w:ind w:left="100" w:right="87" w:firstLine="0"/>
        <w:jc w:val="left"/>
        <w:rPr>
          <w:sz w:val="14"/>
        </w:rPr>
      </w:pPr>
      <w:r>
        <w:rPr>
          <w:sz w:val="14"/>
        </w:rPr>
        <w:t>Deloitte refers to one or more of Deloitte Touche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t>
      </w:r>
      <w:hyperlink r:id="rId105">
        <w:r>
          <w:rPr>
            <w:sz w:val="14"/>
          </w:rPr>
          <w:t>www.deloitte.com/about </w:t>
        </w:r>
      </w:hyperlink>
      <w:r>
        <w:rPr>
          <w:sz w:val="14"/>
        </w:rPr>
        <w:t>to learn more.</w:t>
      </w:r>
    </w:p>
    <w:p>
      <w:pPr>
        <w:pStyle w:val="BodyText"/>
        <w:spacing w:before="9"/>
        <w:rPr>
          <w:sz w:val="15"/>
        </w:rPr>
      </w:pPr>
    </w:p>
    <w:p>
      <w:pPr>
        <w:spacing w:before="0"/>
        <w:ind w:left="100" w:right="0" w:firstLine="0"/>
        <w:jc w:val="left"/>
        <w:rPr>
          <w:sz w:val="14"/>
        </w:rPr>
      </w:pPr>
      <w:r>
        <w:rPr>
          <w:sz w:val="14"/>
        </w:rPr>
        <w:t>Liability limited by a scheme approved under Professional Standards Legislation.</w:t>
      </w:r>
    </w:p>
    <w:p>
      <w:pPr>
        <w:pStyle w:val="BodyText"/>
        <w:rPr>
          <w:sz w:val="16"/>
        </w:rPr>
      </w:pPr>
    </w:p>
    <w:p>
      <w:pPr>
        <w:pStyle w:val="BodyText"/>
        <w:spacing w:before="8"/>
        <w:rPr>
          <w:sz w:val="13"/>
        </w:rPr>
      </w:pPr>
    </w:p>
    <w:p>
      <w:pPr>
        <w:spacing w:before="0"/>
        <w:ind w:left="100" w:right="0" w:firstLine="0"/>
        <w:jc w:val="left"/>
        <w:rPr>
          <w:sz w:val="14"/>
        </w:rPr>
      </w:pPr>
      <w:r>
        <w:rPr>
          <w:sz w:val="14"/>
        </w:rPr>
        <w:t>©2022 Deloitte Touche Tohmatsu</w:t>
      </w:r>
    </w:p>
    <w:sectPr>
      <w:headerReference w:type="default" r:id="rId101"/>
      <w:footerReference w:type="default" r:id="rId102"/>
      <w:pgSz w:w="11910" w:h="16840"/>
      <w:pgMar w:header="0" w:footer="0" w:top="1580" w:bottom="2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264pt;margin-top:716.310364pt;width:469.65pt;height:15.45pt;mso-position-horizontal-relative:page;mso-position-vertical-relative:page;z-index:-258268160" type="#_x0000_t202" filled="false" stroked="false">
          <v:textbox inset="0,0,0,0">
            <w:txbxContent>
              <w:p>
                <w:pPr>
                  <w:spacing w:before="20"/>
                  <w:ind w:left="20" w:right="0" w:firstLine="0"/>
                  <w:jc w:val="left"/>
                  <w:rPr>
                    <w:sz w:val="11"/>
                  </w:rPr>
                </w:pPr>
                <w:r>
                  <w:rPr>
                    <w:sz w:val="11"/>
                  </w:rPr>
                  <w:t>Deloitte Access Economics is Australia’s pre-eminent economics advisory practice and a member of Deloitte's global economics group. For more information, please visit our website: </w:t>
                </w:r>
                <w:hyperlink r:id="rId1">
                  <w:r>
                    <w:rPr>
                      <w:sz w:val="11"/>
                    </w:rPr>
                    <w:t>www.deloitte.com/au/deloitte-access-economics</w:t>
                  </w:r>
                </w:hyperlink>
              </w:p>
            </w:txbxContent>
          </v:textbox>
          <w10:wrap type="none"/>
        </v:shape>
      </w:pict>
    </w:r>
    <w:r>
      <w:rPr/>
      <w:pict>
        <v:shape style="position:absolute;margin-left:71.264pt;margin-top:735.65033pt;width:461.8pt;height:22.15pt;mso-position-horizontal-relative:page;mso-position-vertical-relative:page;z-index:-258267136" type="#_x0000_t202" filled="false" stroked="false">
          <v:textbox inset="0,0,0,0">
            <w:txbxContent>
              <w:p>
                <w:pPr>
                  <w:spacing w:before="20"/>
                  <w:ind w:left="20" w:right="5" w:firstLine="0"/>
                  <w:jc w:val="left"/>
                  <w:rPr>
                    <w:sz w:val="11"/>
                  </w:rPr>
                </w:pPr>
                <w:r>
                  <w:rPr>
                    <w:sz w:val="11"/>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t>
                </w:r>
                <w:hyperlink r:id="rId2">
                  <w:r>
                    <w:rPr>
                      <w:sz w:val="11"/>
                    </w:rPr>
                    <w:t>www.deloitte.com/about </w:t>
                  </w:r>
                </w:hyperlink>
                <w:r>
                  <w:rPr>
                    <w:sz w:val="11"/>
                  </w:rPr>
                  <w:t>to learn more.</w:t>
                </w:r>
              </w:p>
            </w:txbxContent>
          </v:textbox>
          <w10:wrap type="none"/>
        </v:shape>
      </w:pict>
    </w:r>
    <w:r>
      <w:rPr/>
      <w:pict>
        <v:shape style="position:absolute;margin-left:71.264pt;margin-top:761.810364pt;width:224.95pt;height:34.050pt;mso-position-horizontal-relative:page;mso-position-vertical-relative:page;z-index:-258266112" type="#_x0000_t202" filled="false" stroked="false">
          <v:textbox inset="0,0,0,0">
            <w:txbxContent>
              <w:p>
                <w:pPr>
                  <w:spacing w:line="453" w:lineRule="auto" w:before="20"/>
                  <w:ind w:left="20" w:right="0" w:firstLine="0"/>
                  <w:jc w:val="left"/>
                  <w:rPr>
                    <w:sz w:val="11"/>
                  </w:rPr>
                </w:pPr>
                <w:r>
                  <w:rPr>
                    <w:sz w:val="11"/>
                  </w:rPr>
                  <w:t>Liability limited by a scheme approved under Professional Standards Legislation. Member of Deloitte Asia Pacific Limited and the Deloitte Network.</w:t>
                </w:r>
              </w:p>
              <w:p>
                <w:pPr>
                  <w:spacing w:before="1"/>
                  <w:ind w:left="20" w:right="0" w:firstLine="0"/>
                  <w:jc w:val="left"/>
                  <w:rPr>
                    <w:sz w:val="11"/>
                  </w:rPr>
                </w:pPr>
                <w:r>
                  <w:rPr>
                    <w:sz w:val="11"/>
                  </w:rPr>
                  <w:t>©2022 Deloitte Access Economics. Deloitte Touche Tohmatsu</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63.316833pt;width:16.3500pt;height:11.8pt;mso-position-horizontal-relative:page;mso-position-vertical-relative:page;z-index:-258249728" type="#_x0000_t202" filled="false" stroked="false">
          <v:textbox inset="0,0,0,0">
            <w:txbxContent>
              <w:p>
                <w:pPr>
                  <w:spacing w:before="21"/>
                  <w:ind w:left="60" w:right="0" w:firstLine="0"/>
                  <w:jc w:val="left"/>
                  <w:rPr>
                    <w:sz w:val="16"/>
                  </w:rPr>
                </w:pPr>
                <w:r>
                  <w:rPr/>
                  <w:fldChar w:fldCharType="begin"/>
                </w:r>
                <w:r>
                  <w:rPr>
                    <w:sz w:val="16"/>
                  </w:rPr>
                  <w:instrText> PAGE </w:instrText>
                </w:r>
                <w:r>
                  <w:rPr/>
                  <w:fldChar w:fldCharType="separate"/>
                </w:r>
                <w:r>
                  <w:rPr/>
                  <w:t>72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24002pt;margin-top:809.916809pt;width:12.5pt;height:11.8pt;mso-position-horizontal-relative:page;mso-position-vertical-relative:page;z-index:-258264064" type="#_x0000_t202" filled="false" stroked="false">
          <v:textbox inset="0,0,0,0">
            <w:txbxContent>
              <w:p>
                <w:pPr>
                  <w:spacing w:before="21"/>
                  <w:ind w:left="60" w:right="0" w:firstLine="0"/>
                  <w:jc w:val="left"/>
                  <w:rPr>
                    <w:sz w:val="16"/>
                  </w:rPr>
                </w:pPr>
                <w:r>
                  <w:rPr/>
                  <w:fldChar w:fldCharType="begin"/>
                </w:r>
                <w:r>
                  <w:rPr>
                    <w:sz w:val="16"/>
                  </w:rPr>
                  <w:instrText> PAGE  \* roman </w:instrText>
                </w:r>
                <w:r>
                  <w:rPr/>
                  <w:fldChar w:fldCharType="separate"/>
                </w:r>
                <w:r>
                  <w:rPr/>
                  <w:t>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24002pt;margin-top:809.916809pt;width:16.3500pt;height:11.8pt;mso-position-horizontal-relative:page;mso-position-vertical-relative:page;z-index:-258262016" type="#_x0000_t202" filled="false" stroked="false">
          <v:textbox inset="0,0,0,0">
            <w:txbxContent>
              <w:p>
                <w:pPr>
                  <w:spacing w:before="21"/>
                  <w:ind w:left="6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pt;margin-top:563.316833pt;width:16.3500pt;height:11.8pt;mso-position-horizontal-relative:page;mso-position-vertical-relative:page;z-index:-258259968" type="#_x0000_t202" filled="false" stroked="false">
          <v:textbox inset="0,0,0,0">
            <w:txbxContent>
              <w:p>
                <w:pPr>
                  <w:spacing w:before="21"/>
                  <w:ind w:left="60" w:right="0" w:firstLine="0"/>
                  <w:jc w:val="left"/>
                  <w:rPr>
                    <w:sz w:val="16"/>
                  </w:rPr>
                </w:pPr>
                <w:r>
                  <w:rPr/>
                  <w:fldChar w:fldCharType="begin"/>
                </w:r>
                <w:r>
                  <w:rPr>
                    <w:sz w:val="16"/>
                  </w:rPr>
                  <w:instrText> PAGE </w:instrText>
                </w:r>
                <w:r>
                  <w:rPr/>
                  <w:fldChar w:fldCharType="separate"/>
                </w:r>
                <w:r>
                  <w:rPr/>
                  <w:t>16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24002pt;margin-top:809.916809pt;width:16.3500pt;height:11.8pt;mso-position-horizontal-relative:page;mso-position-vertical-relative:page;z-index:-258257920" type="#_x0000_t202" filled="false" stroked="false">
          <v:textbox inset="0,0,0,0">
            <w:txbxContent>
              <w:p>
                <w:pPr>
                  <w:spacing w:before="21"/>
                  <w:ind w:left="60" w:right="0" w:firstLine="0"/>
                  <w:jc w:val="left"/>
                  <w:rPr>
                    <w:sz w:val="16"/>
                  </w:rPr>
                </w:pPr>
                <w:r>
                  <w:rPr/>
                  <w:fldChar w:fldCharType="begin"/>
                </w:r>
                <w:r>
                  <w:rPr>
                    <w:sz w:val="16"/>
                  </w:rPr>
                  <w:instrText> PAGE </w:instrText>
                </w:r>
                <w:r>
                  <w:rPr/>
                  <w:fldChar w:fldCharType="separate"/>
                </w:r>
                <w:r>
                  <w:rPr/>
                  <w:t>19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63.316833pt;width:12.35pt;height:11.8pt;mso-position-horizontal-relative:page;mso-position-vertical-relative:page;z-index:-258256896" type="#_x0000_t202" filled="false" stroked="false">
          <v:textbox inset="0,0,0,0">
            <w:txbxContent>
              <w:p>
                <w:pPr>
                  <w:spacing w:before="21"/>
                  <w:ind w:left="20" w:right="0" w:firstLine="0"/>
                  <w:jc w:val="left"/>
                  <w:rPr>
                    <w:sz w:val="16"/>
                  </w:rPr>
                </w:pPr>
                <w:r>
                  <w:rPr>
                    <w:sz w:val="16"/>
                  </w:rPr>
                  <w:t>58</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24002pt;margin-top:809.916809pt;width:16.3500pt;height:11.8pt;mso-position-horizontal-relative:page;mso-position-vertical-relative:page;z-index:-258254848" type="#_x0000_t202" filled="false" stroked="false">
          <v:textbox inset="0,0,0,0">
            <w:txbxContent>
              <w:p>
                <w:pPr>
                  <w:spacing w:before="21"/>
                  <w:ind w:left="60" w:right="0" w:firstLine="0"/>
                  <w:jc w:val="left"/>
                  <w:rPr>
                    <w:sz w:val="16"/>
                  </w:rPr>
                </w:pPr>
                <w:r>
                  <w:rPr/>
                  <w:fldChar w:fldCharType="begin"/>
                </w:r>
                <w:r>
                  <w:rPr>
                    <w:sz w:val="16"/>
                  </w:rPr>
                  <w:instrText> PAGE </w:instrText>
                </w:r>
                <w:r>
                  <w:rPr/>
                  <w:fldChar w:fldCharType="separate"/>
                </w:r>
                <w:r>
                  <w:rPr/>
                  <w:t>59</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63.316833pt;width:12.35pt;height:11.8pt;mso-position-horizontal-relative:page;mso-position-vertical-relative:page;z-index:-258253824" type="#_x0000_t202" filled="false" stroked="false">
          <v:textbox inset="0,0,0,0">
            <w:txbxContent>
              <w:p>
                <w:pPr>
                  <w:spacing w:before="21"/>
                  <w:ind w:left="20" w:right="0" w:firstLine="0"/>
                  <w:jc w:val="left"/>
                  <w:rPr>
                    <w:sz w:val="16"/>
                  </w:rPr>
                </w:pPr>
                <w:r>
                  <w:rPr>
                    <w:sz w:val="16"/>
                  </w:rPr>
                  <w:t>61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24002pt;margin-top:809.916809pt;width:16.3500pt;height:11.8pt;mso-position-horizontal-relative:page;mso-position-vertical-relative:page;z-index:-258251776" type="#_x0000_t202" filled="false" stroked="false">
          <v:textbox inset="0,0,0,0">
            <w:txbxContent>
              <w:p>
                <w:pPr>
                  <w:spacing w:before="21"/>
                  <w:ind w:left="60" w:right="0" w:firstLine="0"/>
                  <w:jc w:val="left"/>
                  <w:rPr>
                    <w:sz w:val="16"/>
                  </w:rPr>
                </w:pPr>
                <w:r>
                  <w:rPr/>
                  <w:fldChar w:fldCharType="begin"/>
                </w:r>
                <w:r>
                  <w:rPr>
                    <w:sz w:val="16"/>
                  </w:rPr>
                  <w:instrText> PAGE </w:instrText>
                </w:r>
                <w:r>
                  <w:rPr/>
                  <w:fldChar w:fldCharType="separate"/>
                </w:r>
                <w:r>
                  <w:rPr/>
                  <w:t>62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320pt;height:841.9198pt;mso-position-horizontal-relative:page;mso-position-vertical-relative:page;z-index:-258270208" filled="true" fillcolor="#ffffff"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33.042599pt;width:143.3pt;height:10.5pt;mso-position-horizontal-relative:page;mso-position-vertical-relative:page;z-index:-258252800" type="#_x0000_t202" filled="false" stroked="false">
          <v:textbox inset="0,0,0,0">
            <w:txbxContent>
              <w:p>
                <w:pPr>
                  <w:spacing w:before="19"/>
                  <w:ind w:left="20" w:right="0" w:firstLine="0"/>
                  <w:jc w:val="left"/>
                  <w:rPr>
                    <w:i/>
                    <w:sz w:val="14"/>
                  </w:rPr>
                </w:pPr>
                <w:r>
                  <w:rPr>
                    <w:i/>
                    <w:sz w:val="14"/>
                  </w:rPr>
                  <w:t>Our Way Changing Tracks – Final report</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33.042625pt;width:143.35pt;height:10.5pt;mso-position-horizontal-relative:page;mso-position-vertical-relative:page;z-index:-258250752" type="#_x0000_t202" filled="false" stroked="false">
          <v:textbox inset="0,0,0,0">
            <w:txbxContent>
              <w:p>
                <w:pPr>
                  <w:spacing w:before="19"/>
                  <w:ind w:left="20" w:right="0" w:firstLine="0"/>
                  <w:jc w:val="left"/>
                  <w:rPr>
                    <w:i/>
                    <w:sz w:val="14"/>
                  </w:rPr>
                </w:pPr>
                <w:r>
                  <w:rPr>
                    <w:i/>
                    <w:sz w:val="14"/>
                  </w:rPr>
                  <w:t>Our Way Changing Tracks – Final report</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320pt;height:841.9198pt;mso-position-horizontal-relative:page;mso-position-vertical-relative:page;z-index:-258248704" filled="true" fillcolor="#ffffff"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33.7626pt;width:143.35pt;height:10.5pt;mso-position-horizontal-relative:page;mso-position-vertical-relative:page;z-index:-258269184" type="#_x0000_t202" filled="false" stroked="false">
          <v:textbox inset="0,0,0,0">
            <w:txbxContent>
              <w:p>
                <w:pPr>
                  <w:spacing w:before="19"/>
                  <w:ind w:left="20" w:right="0" w:firstLine="0"/>
                  <w:jc w:val="left"/>
                  <w:rPr>
                    <w:sz w:val="14"/>
                  </w:rPr>
                </w:pPr>
                <w:r>
                  <w:rPr>
                    <w:sz w:val="14"/>
                  </w:rPr>
                  <w:t>Our Way Changing Tracks – Final report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33.042599pt;width:143.3pt;height:10.5pt;mso-position-horizontal-relative:page;mso-position-vertical-relative:page;z-index:-258265088" type="#_x0000_t202" filled="false" stroked="false">
          <v:textbox inset="0,0,0,0">
            <w:txbxContent>
              <w:p>
                <w:pPr>
                  <w:spacing w:before="19"/>
                  <w:ind w:left="20" w:right="0" w:firstLine="0"/>
                  <w:jc w:val="left"/>
                  <w:rPr>
                    <w:i/>
                    <w:sz w:val="14"/>
                  </w:rPr>
                </w:pPr>
                <w:r>
                  <w:rPr>
                    <w:i/>
                    <w:sz w:val="14"/>
                  </w:rPr>
                  <w:t>Our Way Changing Tracks – Final report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33.042599pt;width:143.3pt;height:10.5pt;mso-position-horizontal-relative:page;mso-position-vertical-relative:page;z-index:-258263040" type="#_x0000_t202" filled="false" stroked="false">
          <v:textbox inset="0,0,0,0">
            <w:txbxContent>
              <w:p>
                <w:pPr>
                  <w:spacing w:before="19"/>
                  <w:ind w:left="20" w:right="0" w:firstLine="0"/>
                  <w:jc w:val="left"/>
                  <w:rPr>
                    <w:i/>
                    <w:sz w:val="14"/>
                  </w:rPr>
                </w:pPr>
                <w:r>
                  <w:rPr>
                    <w:i/>
                    <w:sz w:val="14"/>
                  </w:rPr>
                  <w:t>Our Way Changing Tracks – Final report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33.042625pt;width:143.35pt;height:10.5pt;mso-position-horizontal-relative:page;mso-position-vertical-relative:page;z-index:-258260992" type="#_x0000_t202" filled="false" stroked="false">
          <v:textbox inset="0,0,0,0">
            <w:txbxContent>
              <w:p>
                <w:pPr>
                  <w:spacing w:before="19"/>
                  <w:ind w:left="20" w:right="0" w:firstLine="0"/>
                  <w:jc w:val="left"/>
                  <w:rPr>
                    <w:i/>
                    <w:sz w:val="14"/>
                  </w:rPr>
                </w:pPr>
                <w:r>
                  <w:rPr>
                    <w:i/>
                    <w:sz w:val="14"/>
                  </w:rPr>
                  <w:t>Our Way Changing Tracks – Final report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33.042599pt;width:143.3pt;height:10.5pt;mso-position-horizontal-relative:page;mso-position-vertical-relative:page;z-index:-258258944" type="#_x0000_t202" filled="false" stroked="false">
          <v:textbox inset="0,0,0,0">
            <w:txbxContent>
              <w:p>
                <w:pPr>
                  <w:spacing w:before="19"/>
                  <w:ind w:left="20" w:right="0" w:firstLine="0"/>
                  <w:jc w:val="left"/>
                  <w:rPr>
                    <w:i/>
                    <w:sz w:val="14"/>
                  </w:rPr>
                </w:pPr>
                <w:r>
                  <w:rPr>
                    <w:i/>
                    <w:sz w:val="14"/>
                  </w:rPr>
                  <w:t>Our Way Changing Tracks – Final report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33.042599pt;width:143.3pt;height:10.5pt;mso-position-horizontal-relative:page;mso-position-vertical-relative:page;z-index:-258255872" type="#_x0000_t202" filled="false" stroked="false">
          <v:textbox inset="0,0,0,0">
            <w:txbxContent>
              <w:p>
                <w:pPr>
                  <w:spacing w:before="19"/>
                  <w:ind w:left="20" w:right="0" w:firstLine="0"/>
                  <w:jc w:val="left"/>
                  <w:rPr>
                    <w:i/>
                    <w:sz w:val="14"/>
                  </w:rPr>
                </w:pPr>
                <w:r>
                  <w:rPr>
                    <w:i/>
                    <w:sz w:val="14"/>
                  </w:rPr>
                  <w:t>Our Way Changing Tracks – Final report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9">
    <w:multiLevelType w:val="hybridMultilevel"/>
    <w:lvl w:ilvl="0">
      <w:start w:val="0"/>
      <w:numFmt w:val="bullet"/>
      <w:lvlText w:val=""/>
      <w:lvlJc w:val="left"/>
      <w:pPr>
        <w:ind w:left="613" w:hanging="361"/>
      </w:pPr>
      <w:rPr>
        <w:rFonts w:hint="default" w:ascii="Symbol" w:hAnsi="Symbol" w:eastAsia="Symbol" w:cs="Symbol"/>
        <w:w w:val="100"/>
        <w:sz w:val="16"/>
        <w:szCs w:val="16"/>
        <w:lang w:val="en-au" w:eastAsia="en-au" w:bidi="en-au"/>
      </w:rPr>
    </w:lvl>
    <w:lvl w:ilvl="1">
      <w:start w:val="0"/>
      <w:numFmt w:val="bullet"/>
      <w:lvlText w:val="•"/>
      <w:lvlJc w:val="left"/>
      <w:pPr>
        <w:ind w:left="1010" w:hanging="361"/>
      </w:pPr>
      <w:rPr>
        <w:rFonts w:hint="default"/>
        <w:lang w:val="en-au" w:eastAsia="en-au" w:bidi="en-au"/>
      </w:rPr>
    </w:lvl>
    <w:lvl w:ilvl="2">
      <w:start w:val="0"/>
      <w:numFmt w:val="bullet"/>
      <w:lvlText w:val="•"/>
      <w:lvlJc w:val="left"/>
      <w:pPr>
        <w:ind w:left="1400" w:hanging="361"/>
      </w:pPr>
      <w:rPr>
        <w:rFonts w:hint="default"/>
        <w:lang w:val="en-au" w:eastAsia="en-au" w:bidi="en-au"/>
      </w:rPr>
    </w:lvl>
    <w:lvl w:ilvl="3">
      <w:start w:val="0"/>
      <w:numFmt w:val="bullet"/>
      <w:lvlText w:val="•"/>
      <w:lvlJc w:val="left"/>
      <w:pPr>
        <w:ind w:left="1791" w:hanging="361"/>
      </w:pPr>
      <w:rPr>
        <w:rFonts w:hint="default"/>
        <w:lang w:val="en-au" w:eastAsia="en-au" w:bidi="en-au"/>
      </w:rPr>
    </w:lvl>
    <w:lvl w:ilvl="4">
      <w:start w:val="0"/>
      <w:numFmt w:val="bullet"/>
      <w:lvlText w:val="•"/>
      <w:lvlJc w:val="left"/>
      <w:pPr>
        <w:ind w:left="2181" w:hanging="361"/>
      </w:pPr>
      <w:rPr>
        <w:rFonts w:hint="default"/>
        <w:lang w:val="en-au" w:eastAsia="en-au" w:bidi="en-au"/>
      </w:rPr>
    </w:lvl>
    <w:lvl w:ilvl="5">
      <w:start w:val="0"/>
      <w:numFmt w:val="bullet"/>
      <w:lvlText w:val="•"/>
      <w:lvlJc w:val="left"/>
      <w:pPr>
        <w:ind w:left="2572" w:hanging="361"/>
      </w:pPr>
      <w:rPr>
        <w:rFonts w:hint="default"/>
        <w:lang w:val="en-au" w:eastAsia="en-au" w:bidi="en-au"/>
      </w:rPr>
    </w:lvl>
    <w:lvl w:ilvl="6">
      <w:start w:val="0"/>
      <w:numFmt w:val="bullet"/>
      <w:lvlText w:val="•"/>
      <w:lvlJc w:val="left"/>
      <w:pPr>
        <w:ind w:left="2962" w:hanging="361"/>
      </w:pPr>
      <w:rPr>
        <w:rFonts w:hint="default"/>
        <w:lang w:val="en-au" w:eastAsia="en-au" w:bidi="en-au"/>
      </w:rPr>
    </w:lvl>
    <w:lvl w:ilvl="7">
      <w:start w:val="0"/>
      <w:numFmt w:val="bullet"/>
      <w:lvlText w:val="•"/>
      <w:lvlJc w:val="left"/>
      <w:pPr>
        <w:ind w:left="3352" w:hanging="361"/>
      </w:pPr>
      <w:rPr>
        <w:rFonts w:hint="default"/>
        <w:lang w:val="en-au" w:eastAsia="en-au" w:bidi="en-au"/>
      </w:rPr>
    </w:lvl>
    <w:lvl w:ilvl="8">
      <w:start w:val="0"/>
      <w:numFmt w:val="bullet"/>
      <w:lvlText w:val="•"/>
      <w:lvlJc w:val="left"/>
      <w:pPr>
        <w:ind w:left="3743" w:hanging="361"/>
      </w:pPr>
      <w:rPr>
        <w:rFonts w:hint="default"/>
        <w:lang w:val="en-au" w:eastAsia="en-au" w:bidi="en-au"/>
      </w:rPr>
    </w:lvl>
  </w:abstractNum>
  <w:abstractNum w:abstractNumId="98">
    <w:multiLevelType w:val="hybridMultilevel"/>
    <w:lvl w:ilvl="0">
      <w:start w:val="97"/>
      <w:numFmt w:val="decimal"/>
      <w:lvlText w:val="%1."/>
      <w:lvlJc w:val="left"/>
      <w:pPr>
        <w:ind w:left="879" w:hanging="360"/>
        <w:jc w:val="left"/>
      </w:pPr>
      <w:rPr>
        <w:rFonts w:hint="default" w:ascii="Verdana" w:hAnsi="Verdana" w:eastAsia="Verdana" w:cs="Verdana"/>
        <w:w w:val="100"/>
        <w:sz w:val="16"/>
        <w:szCs w:val="16"/>
        <w:lang w:val="en-au" w:eastAsia="en-au" w:bidi="en-au"/>
      </w:rPr>
    </w:lvl>
    <w:lvl w:ilvl="1">
      <w:start w:val="0"/>
      <w:numFmt w:val="bullet"/>
      <w:lvlText w:val="o"/>
      <w:lvlJc w:val="left"/>
      <w:pPr>
        <w:ind w:left="1599" w:hanging="360"/>
      </w:pPr>
      <w:rPr>
        <w:rFonts w:hint="default" w:ascii="Courier New" w:hAnsi="Courier New" w:eastAsia="Courier New" w:cs="Courier New"/>
        <w:w w:val="100"/>
        <w:sz w:val="16"/>
        <w:szCs w:val="16"/>
        <w:lang w:val="en-au" w:eastAsia="en-au" w:bidi="en-au"/>
      </w:rPr>
    </w:lvl>
    <w:lvl w:ilvl="2">
      <w:start w:val="0"/>
      <w:numFmt w:val="bullet"/>
      <w:lvlText w:val="•"/>
      <w:lvlJc w:val="left"/>
      <w:pPr>
        <w:ind w:left="2279" w:hanging="360"/>
      </w:pPr>
      <w:rPr>
        <w:rFonts w:hint="default"/>
        <w:lang w:val="en-au" w:eastAsia="en-au" w:bidi="en-au"/>
      </w:rPr>
    </w:lvl>
    <w:lvl w:ilvl="3">
      <w:start w:val="0"/>
      <w:numFmt w:val="bullet"/>
      <w:lvlText w:val="•"/>
      <w:lvlJc w:val="left"/>
      <w:pPr>
        <w:ind w:left="2958" w:hanging="360"/>
      </w:pPr>
      <w:rPr>
        <w:rFonts w:hint="default"/>
        <w:lang w:val="en-au" w:eastAsia="en-au" w:bidi="en-au"/>
      </w:rPr>
    </w:lvl>
    <w:lvl w:ilvl="4">
      <w:start w:val="0"/>
      <w:numFmt w:val="bullet"/>
      <w:lvlText w:val="•"/>
      <w:lvlJc w:val="left"/>
      <w:pPr>
        <w:ind w:left="3638" w:hanging="360"/>
      </w:pPr>
      <w:rPr>
        <w:rFonts w:hint="default"/>
        <w:lang w:val="en-au" w:eastAsia="en-au" w:bidi="en-au"/>
      </w:rPr>
    </w:lvl>
    <w:lvl w:ilvl="5">
      <w:start w:val="0"/>
      <w:numFmt w:val="bullet"/>
      <w:lvlText w:val="•"/>
      <w:lvlJc w:val="left"/>
      <w:pPr>
        <w:ind w:left="4317" w:hanging="360"/>
      </w:pPr>
      <w:rPr>
        <w:rFonts w:hint="default"/>
        <w:lang w:val="en-au" w:eastAsia="en-au" w:bidi="en-au"/>
      </w:rPr>
    </w:lvl>
    <w:lvl w:ilvl="6">
      <w:start w:val="0"/>
      <w:numFmt w:val="bullet"/>
      <w:lvlText w:val="•"/>
      <w:lvlJc w:val="left"/>
      <w:pPr>
        <w:ind w:left="4997" w:hanging="360"/>
      </w:pPr>
      <w:rPr>
        <w:rFonts w:hint="default"/>
        <w:lang w:val="en-au" w:eastAsia="en-au" w:bidi="en-au"/>
      </w:rPr>
    </w:lvl>
    <w:lvl w:ilvl="7">
      <w:start w:val="0"/>
      <w:numFmt w:val="bullet"/>
      <w:lvlText w:val="•"/>
      <w:lvlJc w:val="left"/>
      <w:pPr>
        <w:ind w:left="5676" w:hanging="360"/>
      </w:pPr>
      <w:rPr>
        <w:rFonts w:hint="default"/>
        <w:lang w:val="en-au" w:eastAsia="en-au" w:bidi="en-au"/>
      </w:rPr>
    </w:lvl>
    <w:lvl w:ilvl="8">
      <w:start w:val="0"/>
      <w:numFmt w:val="bullet"/>
      <w:lvlText w:val="•"/>
      <w:lvlJc w:val="left"/>
      <w:pPr>
        <w:ind w:left="6356" w:hanging="360"/>
      </w:pPr>
      <w:rPr>
        <w:rFonts w:hint="default"/>
        <w:lang w:val="en-au" w:eastAsia="en-au" w:bidi="en-au"/>
      </w:rPr>
    </w:lvl>
  </w:abstractNum>
  <w:abstractNum w:abstractNumId="97">
    <w:multiLevelType w:val="hybridMultilevel"/>
    <w:lvl w:ilvl="0">
      <w:start w:val="0"/>
      <w:numFmt w:val="bullet"/>
      <w:lvlText w:val=""/>
      <w:lvlJc w:val="left"/>
      <w:pPr>
        <w:ind w:left="439" w:hanging="361"/>
      </w:pPr>
      <w:rPr>
        <w:rFonts w:hint="default" w:ascii="Symbol" w:hAnsi="Symbol" w:eastAsia="Symbol" w:cs="Symbol"/>
        <w:w w:val="100"/>
        <w:sz w:val="16"/>
        <w:szCs w:val="16"/>
        <w:lang w:val="en-au" w:eastAsia="en-au" w:bidi="en-au"/>
      </w:rPr>
    </w:lvl>
    <w:lvl w:ilvl="1">
      <w:start w:val="0"/>
      <w:numFmt w:val="bullet"/>
      <w:lvlText w:val="•"/>
      <w:lvlJc w:val="left"/>
      <w:pPr>
        <w:ind w:left="831" w:hanging="361"/>
      </w:pPr>
      <w:rPr>
        <w:rFonts w:hint="default"/>
        <w:lang w:val="en-au" w:eastAsia="en-au" w:bidi="en-au"/>
      </w:rPr>
    </w:lvl>
    <w:lvl w:ilvl="2">
      <w:start w:val="0"/>
      <w:numFmt w:val="bullet"/>
      <w:lvlText w:val="•"/>
      <w:lvlJc w:val="left"/>
      <w:pPr>
        <w:ind w:left="1222" w:hanging="361"/>
      </w:pPr>
      <w:rPr>
        <w:rFonts w:hint="default"/>
        <w:lang w:val="en-au" w:eastAsia="en-au" w:bidi="en-au"/>
      </w:rPr>
    </w:lvl>
    <w:lvl w:ilvl="3">
      <w:start w:val="0"/>
      <w:numFmt w:val="bullet"/>
      <w:lvlText w:val="•"/>
      <w:lvlJc w:val="left"/>
      <w:pPr>
        <w:ind w:left="1613" w:hanging="361"/>
      </w:pPr>
      <w:rPr>
        <w:rFonts w:hint="default"/>
        <w:lang w:val="en-au" w:eastAsia="en-au" w:bidi="en-au"/>
      </w:rPr>
    </w:lvl>
    <w:lvl w:ilvl="4">
      <w:start w:val="0"/>
      <w:numFmt w:val="bullet"/>
      <w:lvlText w:val="•"/>
      <w:lvlJc w:val="left"/>
      <w:pPr>
        <w:ind w:left="2005" w:hanging="361"/>
      </w:pPr>
      <w:rPr>
        <w:rFonts w:hint="default"/>
        <w:lang w:val="en-au" w:eastAsia="en-au" w:bidi="en-au"/>
      </w:rPr>
    </w:lvl>
    <w:lvl w:ilvl="5">
      <w:start w:val="0"/>
      <w:numFmt w:val="bullet"/>
      <w:lvlText w:val="•"/>
      <w:lvlJc w:val="left"/>
      <w:pPr>
        <w:ind w:left="2396" w:hanging="361"/>
      </w:pPr>
      <w:rPr>
        <w:rFonts w:hint="default"/>
        <w:lang w:val="en-au" w:eastAsia="en-au" w:bidi="en-au"/>
      </w:rPr>
    </w:lvl>
    <w:lvl w:ilvl="6">
      <w:start w:val="0"/>
      <w:numFmt w:val="bullet"/>
      <w:lvlText w:val="•"/>
      <w:lvlJc w:val="left"/>
      <w:pPr>
        <w:ind w:left="2787" w:hanging="361"/>
      </w:pPr>
      <w:rPr>
        <w:rFonts w:hint="default"/>
        <w:lang w:val="en-au" w:eastAsia="en-au" w:bidi="en-au"/>
      </w:rPr>
    </w:lvl>
    <w:lvl w:ilvl="7">
      <w:start w:val="0"/>
      <w:numFmt w:val="bullet"/>
      <w:lvlText w:val="•"/>
      <w:lvlJc w:val="left"/>
      <w:pPr>
        <w:ind w:left="3179" w:hanging="361"/>
      </w:pPr>
      <w:rPr>
        <w:rFonts w:hint="default"/>
        <w:lang w:val="en-au" w:eastAsia="en-au" w:bidi="en-au"/>
      </w:rPr>
    </w:lvl>
    <w:lvl w:ilvl="8">
      <w:start w:val="0"/>
      <w:numFmt w:val="bullet"/>
      <w:lvlText w:val="•"/>
      <w:lvlJc w:val="left"/>
      <w:pPr>
        <w:ind w:left="3570" w:hanging="361"/>
      </w:pPr>
      <w:rPr>
        <w:rFonts w:hint="default"/>
        <w:lang w:val="en-au" w:eastAsia="en-au" w:bidi="en-au"/>
      </w:rPr>
    </w:lvl>
  </w:abstractNum>
  <w:abstractNum w:abstractNumId="96">
    <w:multiLevelType w:val="hybridMultilevel"/>
    <w:lvl w:ilvl="0">
      <w:start w:val="95"/>
      <w:numFmt w:val="decimal"/>
      <w:lvlText w:val="%1."/>
      <w:lvlJc w:val="left"/>
      <w:pPr>
        <w:ind w:left="749" w:hanging="360"/>
        <w:jc w:val="left"/>
      </w:pPr>
      <w:rPr>
        <w:rFonts w:hint="default" w:ascii="Verdana" w:hAnsi="Verdana" w:eastAsia="Verdana" w:cs="Verdana"/>
        <w:w w:val="100"/>
        <w:sz w:val="16"/>
        <w:szCs w:val="16"/>
        <w:lang w:val="en-au" w:eastAsia="en-au" w:bidi="en-au"/>
      </w:rPr>
    </w:lvl>
    <w:lvl w:ilvl="1">
      <w:start w:val="0"/>
      <w:numFmt w:val="bullet"/>
      <w:lvlText w:val="o"/>
      <w:lvlJc w:val="left"/>
      <w:pPr>
        <w:ind w:left="1469" w:hanging="360"/>
      </w:pPr>
      <w:rPr>
        <w:rFonts w:hint="default" w:ascii="Courier New" w:hAnsi="Courier New" w:eastAsia="Courier New" w:cs="Courier New"/>
        <w:w w:val="100"/>
        <w:sz w:val="16"/>
        <w:szCs w:val="16"/>
        <w:lang w:val="en-au" w:eastAsia="en-au" w:bidi="en-au"/>
      </w:rPr>
    </w:lvl>
    <w:lvl w:ilvl="2">
      <w:start w:val="0"/>
      <w:numFmt w:val="bullet"/>
      <w:lvlText w:val="•"/>
      <w:lvlJc w:val="left"/>
      <w:pPr>
        <w:ind w:left="2159" w:hanging="360"/>
      </w:pPr>
      <w:rPr>
        <w:rFonts w:hint="default"/>
        <w:lang w:val="en-au" w:eastAsia="en-au" w:bidi="en-au"/>
      </w:rPr>
    </w:lvl>
    <w:lvl w:ilvl="3">
      <w:start w:val="0"/>
      <w:numFmt w:val="bullet"/>
      <w:lvlText w:val="•"/>
      <w:lvlJc w:val="left"/>
      <w:pPr>
        <w:ind w:left="2859" w:hanging="360"/>
      </w:pPr>
      <w:rPr>
        <w:rFonts w:hint="default"/>
        <w:lang w:val="en-au" w:eastAsia="en-au" w:bidi="en-au"/>
      </w:rPr>
    </w:lvl>
    <w:lvl w:ilvl="4">
      <w:start w:val="0"/>
      <w:numFmt w:val="bullet"/>
      <w:lvlText w:val="•"/>
      <w:lvlJc w:val="left"/>
      <w:pPr>
        <w:ind w:left="3559" w:hanging="360"/>
      </w:pPr>
      <w:rPr>
        <w:rFonts w:hint="default"/>
        <w:lang w:val="en-au" w:eastAsia="en-au" w:bidi="en-au"/>
      </w:rPr>
    </w:lvl>
    <w:lvl w:ilvl="5">
      <w:start w:val="0"/>
      <w:numFmt w:val="bullet"/>
      <w:lvlText w:val="•"/>
      <w:lvlJc w:val="left"/>
      <w:pPr>
        <w:ind w:left="4259" w:hanging="360"/>
      </w:pPr>
      <w:rPr>
        <w:rFonts w:hint="default"/>
        <w:lang w:val="en-au" w:eastAsia="en-au" w:bidi="en-au"/>
      </w:rPr>
    </w:lvl>
    <w:lvl w:ilvl="6">
      <w:start w:val="0"/>
      <w:numFmt w:val="bullet"/>
      <w:lvlText w:val="•"/>
      <w:lvlJc w:val="left"/>
      <w:pPr>
        <w:ind w:left="4959" w:hanging="360"/>
      </w:pPr>
      <w:rPr>
        <w:rFonts w:hint="default"/>
        <w:lang w:val="en-au" w:eastAsia="en-au" w:bidi="en-au"/>
      </w:rPr>
    </w:lvl>
    <w:lvl w:ilvl="7">
      <w:start w:val="0"/>
      <w:numFmt w:val="bullet"/>
      <w:lvlText w:val="•"/>
      <w:lvlJc w:val="left"/>
      <w:pPr>
        <w:ind w:left="5659" w:hanging="360"/>
      </w:pPr>
      <w:rPr>
        <w:rFonts w:hint="default"/>
        <w:lang w:val="en-au" w:eastAsia="en-au" w:bidi="en-au"/>
      </w:rPr>
    </w:lvl>
    <w:lvl w:ilvl="8">
      <w:start w:val="0"/>
      <w:numFmt w:val="bullet"/>
      <w:lvlText w:val="•"/>
      <w:lvlJc w:val="left"/>
      <w:pPr>
        <w:ind w:left="6359" w:hanging="360"/>
      </w:pPr>
      <w:rPr>
        <w:rFonts w:hint="default"/>
        <w:lang w:val="en-au" w:eastAsia="en-au" w:bidi="en-au"/>
      </w:rPr>
    </w:lvl>
  </w:abstractNum>
  <w:abstractNum w:abstractNumId="95">
    <w:multiLevelType w:val="hybridMultilevel"/>
    <w:lvl w:ilvl="0">
      <w:start w:val="0"/>
      <w:numFmt w:val="bullet"/>
      <w:lvlText w:val=""/>
      <w:lvlJc w:val="left"/>
      <w:pPr>
        <w:ind w:left="439" w:hanging="361"/>
      </w:pPr>
      <w:rPr>
        <w:rFonts w:hint="default" w:ascii="Symbol" w:hAnsi="Symbol" w:eastAsia="Symbol" w:cs="Symbol"/>
        <w:w w:val="100"/>
        <w:sz w:val="16"/>
        <w:szCs w:val="16"/>
        <w:lang w:val="en-au" w:eastAsia="en-au" w:bidi="en-au"/>
      </w:rPr>
    </w:lvl>
    <w:lvl w:ilvl="1">
      <w:start w:val="0"/>
      <w:numFmt w:val="bullet"/>
      <w:lvlText w:val="•"/>
      <w:lvlJc w:val="left"/>
      <w:pPr>
        <w:ind w:left="831" w:hanging="361"/>
      </w:pPr>
      <w:rPr>
        <w:rFonts w:hint="default"/>
        <w:lang w:val="en-au" w:eastAsia="en-au" w:bidi="en-au"/>
      </w:rPr>
    </w:lvl>
    <w:lvl w:ilvl="2">
      <w:start w:val="0"/>
      <w:numFmt w:val="bullet"/>
      <w:lvlText w:val="•"/>
      <w:lvlJc w:val="left"/>
      <w:pPr>
        <w:ind w:left="1222" w:hanging="361"/>
      </w:pPr>
      <w:rPr>
        <w:rFonts w:hint="default"/>
        <w:lang w:val="en-au" w:eastAsia="en-au" w:bidi="en-au"/>
      </w:rPr>
    </w:lvl>
    <w:lvl w:ilvl="3">
      <w:start w:val="0"/>
      <w:numFmt w:val="bullet"/>
      <w:lvlText w:val="•"/>
      <w:lvlJc w:val="left"/>
      <w:pPr>
        <w:ind w:left="1613" w:hanging="361"/>
      </w:pPr>
      <w:rPr>
        <w:rFonts w:hint="default"/>
        <w:lang w:val="en-au" w:eastAsia="en-au" w:bidi="en-au"/>
      </w:rPr>
    </w:lvl>
    <w:lvl w:ilvl="4">
      <w:start w:val="0"/>
      <w:numFmt w:val="bullet"/>
      <w:lvlText w:val="•"/>
      <w:lvlJc w:val="left"/>
      <w:pPr>
        <w:ind w:left="2005" w:hanging="361"/>
      </w:pPr>
      <w:rPr>
        <w:rFonts w:hint="default"/>
        <w:lang w:val="en-au" w:eastAsia="en-au" w:bidi="en-au"/>
      </w:rPr>
    </w:lvl>
    <w:lvl w:ilvl="5">
      <w:start w:val="0"/>
      <w:numFmt w:val="bullet"/>
      <w:lvlText w:val="•"/>
      <w:lvlJc w:val="left"/>
      <w:pPr>
        <w:ind w:left="2396" w:hanging="361"/>
      </w:pPr>
      <w:rPr>
        <w:rFonts w:hint="default"/>
        <w:lang w:val="en-au" w:eastAsia="en-au" w:bidi="en-au"/>
      </w:rPr>
    </w:lvl>
    <w:lvl w:ilvl="6">
      <w:start w:val="0"/>
      <w:numFmt w:val="bullet"/>
      <w:lvlText w:val="•"/>
      <w:lvlJc w:val="left"/>
      <w:pPr>
        <w:ind w:left="2787" w:hanging="361"/>
      </w:pPr>
      <w:rPr>
        <w:rFonts w:hint="default"/>
        <w:lang w:val="en-au" w:eastAsia="en-au" w:bidi="en-au"/>
      </w:rPr>
    </w:lvl>
    <w:lvl w:ilvl="7">
      <w:start w:val="0"/>
      <w:numFmt w:val="bullet"/>
      <w:lvlText w:val="•"/>
      <w:lvlJc w:val="left"/>
      <w:pPr>
        <w:ind w:left="3179" w:hanging="361"/>
      </w:pPr>
      <w:rPr>
        <w:rFonts w:hint="default"/>
        <w:lang w:val="en-au" w:eastAsia="en-au" w:bidi="en-au"/>
      </w:rPr>
    </w:lvl>
    <w:lvl w:ilvl="8">
      <w:start w:val="0"/>
      <w:numFmt w:val="bullet"/>
      <w:lvlText w:val="•"/>
      <w:lvlJc w:val="left"/>
      <w:pPr>
        <w:ind w:left="3570" w:hanging="361"/>
      </w:pPr>
      <w:rPr>
        <w:rFonts w:hint="default"/>
        <w:lang w:val="en-au" w:eastAsia="en-au" w:bidi="en-au"/>
      </w:rPr>
    </w:lvl>
  </w:abstractNum>
  <w:abstractNum w:abstractNumId="94">
    <w:multiLevelType w:val="hybridMultilevel"/>
    <w:lvl w:ilvl="0">
      <w:start w:val="94"/>
      <w:numFmt w:val="decimal"/>
      <w:lvlText w:val="%1."/>
      <w:lvlJc w:val="left"/>
      <w:pPr>
        <w:ind w:left="749"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589" w:hanging="361"/>
      </w:pPr>
      <w:rPr>
        <w:rFonts w:hint="default" w:ascii="Symbol" w:hAnsi="Symbol" w:eastAsia="Symbol" w:cs="Symbol"/>
        <w:w w:val="100"/>
        <w:sz w:val="16"/>
        <w:szCs w:val="16"/>
        <w:lang w:val="en-au" w:eastAsia="en-au" w:bidi="en-au"/>
      </w:rPr>
    </w:lvl>
    <w:lvl w:ilvl="2">
      <w:start w:val="0"/>
      <w:numFmt w:val="bullet"/>
      <w:lvlText w:val="•"/>
      <w:lvlJc w:val="left"/>
      <w:pPr>
        <w:ind w:left="2266" w:hanging="361"/>
      </w:pPr>
      <w:rPr>
        <w:rFonts w:hint="default"/>
        <w:lang w:val="en-au" w:eastAsia="en-au" w:bidi="en-au"/>
      </w:rPr>
    </w:lvl>
    <w:lvl w:ilvl="3">
      <w:start w:val="0"/>
      <w:numFmt w:val="bullet"/>
      <w:lvlText w:val="•"/>
      <w:lvlJc w:val="left"/>
      <w:pPr>
        <w:ind w:left="2953" w:hanging="361"/>
      </w:pPr>
      <w:rPr>
        <w:rFonts w:hint="default"/>
        <w:lang w:val="en-au" w:eastAsia="en-au" w:bidi="en-au"/>
      </w:rPr>
    </w:lvl>
    <w:lvl w:ilvl="4">
      <w:start w:val="0"/>
      <w:numFmt w:val="bullet"/>
      <w:lvlText w:val="•"/>
      <w:lvlJc w:val="left"/>
      <w:pPr>
        <w:ind w:left="3639" w:hanging="361"/>
      </w:pPr>
      <w:rPr>
        <w:rFonts w:hint="default"/>
        <w:lang w:val="en-au" w:eastAsia="en-au" w:bidi="en-au"/>
      </w:rPr>
    </w:lvl>
    <w:lvl w:ilvl="5">
      <w:start w:val="0"/>
      <w:numFmt w:val="bullet"/>
      <w:lvlText w:val="•"/>
      <w:lvlJc w:val="left"/>
      <w:pPr>
        <w:ind w:left="4326" w:hanging="361"/>
      </w:pPr>
      <w:rPr>
        <w:rFonts w:hint="default"/>
        <w:lang w:val="en-au" w:eastAsia="en-au" w:bidi="en-au"/>
      </w:rPr>
    </w:lvl>
    <w:lvl w:ilvl="6">
      <w:start w:val="0"/>
      <w:numFmt w:val="bullet"/>
      <w:lvlText w:val="•"/>
      <w:lvlJc w:val="left"/>
      <w:pPr>
        <w:ind w:left="5012" w:hanging="361"/>
      </w:pPr>
      <w:rPr>
        <w:rFonts w:hint="default"/>
        <w:lang w:val="en-au" w:eastAsia="en-au" w:bidi="en-au"/>
      </w:rPr>
    </w:lvl>
    <w:lvl w:ilvl="7">
      <w:start w:val="0"/>
      <w:numFmt w:val="bullet"/>
      <w:lvlText w:val="•"/>
      <w:lvlJc w:val="left"/>
      <w:pPr>
        <w:ind w:left="5699" w:hanging="361"/>
      </w:pPr>
      <w:rPr>
        <w:rFonts w:hint="default"/>
        <w:lang w:val="en-au" w:eastAsia="en-au" w:bidi="en-au"/>
      </w:rPr>
    </w:lvl>
    <w:lvl w:ilvl="8">
      <w:start w:val="0"/>
      <w:numFmt w:val="bullet"/>
      <w:lvlText w:val="•"/>
      <w:lvlJc w:val="left"/>
      <w:pPr>
        <w:ind w:left="6385" w:hanging="361"/>
      </w:pPr>
      <w:rPr>
        <w:rFonts w:hint="default"/>
        <w:lang w:val="en-au" w:eastAsia="en-au" w:bidi="en-au"/>
      </w:rPr>
    </w:lvl>
  </w:abstractNum>
  <w:abstractNum w:abstractNumId="93">
    <w:multiLevelType w:val="hybridMultilevel"/>
    <w:lvl w:ilvl="0">
      <w:start w:val="0"/>
      <w:numFmt w:val="bullet"/>
      <w:lvlText w:val=""/>
      <w:lvlJc w:val="left"/>
      <w:pPr>
        <w:ind w:left="439" w:hanging="361"/>
      </w:pPr>
      <w:rPr>
        <w:rFonts w:hint="default" w:ascii="Symbol" w:hAnsi="Symbol" w:eastAsia="Symbol" w:cs="Symbol"/>
        <w:w w:val="100"/>
        <w:sz w:val="16"/>
        <w:szCs w:val="16"/>
        <w:lang w:val="en-au" w:eastAsia="en-au" w:bidi="en-au"/>
      </w:rPr>
    </w:lvl>
    <w:lvl w:ilvl="1">
      <w:start w:val="0"/>
      <w:numFmt w:val="bullet"/>
      <w:lvlText w:val="•"/>
      <w:lvlJc w:val="left"/>
      <w:pPr>
        <w:ind w:left="831" w:hanging="361"/>
      </w:pPr>
      <w:rPr>
        <w:rFonts w:hint="default"/>
        <w:lang w:val="en-au" w:eastAsia="en-au" w:bidi="en-au"/>
      </w:rPr>
    </w:lvl>
    <w:lvl w:ilvl="2">
      <w:start w:val="0"/>
      <w:numFmt w:val="bullet"/>
      <w:lvlText w:val="•"/>
      <w:lvlJc w:val="left"/>
      <w:pPr>
        <w:ind w:left="1222" w:hanging="361"/>
      </w:pPr>
      <w:rPr>
        <w:rFonts w:hint="default"/>
        <w:lang w:val="en-au" w:eastAsia="en-au" w:bidi="en-au"/>
      </w:rPr>
    </w:lvl>
    <w:lvl w:ilvl="3">
      <w:start w:val="0"/>
      <w:numFmt w:val="bullet"/>
      <w:lvlText w:val="•"/>
      <w:lvlJc w:val="left"/>
      <w:pPr>
        <w:ind w:left="1613" w:hanging="361"/>
      </w:pPr>
      <w:rPr>
        <w:rFonts w:hint="default"/>
        <w:lang w:val="en-au" w:eastAsia="en-au" w:bidi="en-au"/>
      </w:rPr>
    </w:lvl>
    <w:lvl w:ilvl="4">
      <w:start w:val="0"/>
      <w:numFmt w:val="bullet"/>
      <w:lvlText w:val="•"/>
      <w:lvlJc w:val="left"/>
      <w:pPr>
        <w:ind w:left="2005" w:hanging="361"/>
      </w:pPr>
      <w:rPr>
        <w:rFonts w:hint="default"/>
        <w:lang w:val="en-au" w:eastAsia="en-au" w:bidi="en-au"/>
      </w:rPr>
    </w:lvl>
    <w:lvl w:ilvl="5">
      <w:start w:val="0"/>
      <w:numFmt w:val="bullet"/>
      <w:lvlText w:val="•"/>
      <w:lvlJc w:val="left"/>
      <w:pPr>
        <w:ind w:left="2396" w:hanging="361"/>
      </w:pPr>
      <w:rPr>
        <w:rFonts w:hint="default"/>
        <w:lang w:val="en-au" w:eastAsia="en-au" w:bidi="en-au"/>
      </w:rPr>
    </w:lvl>
    <w:lvl w:ilvl="6">
      <w:start w:val="0"/>
      <w:numFmt w:val="bullet"/>
      <w:lvlText w:val="•"/>
      <w:lvlJc w:val="left"/>
      <w:pPr>
        <w:ind w:left="2787" w:hanging="361"/>
      </w:pPr>
      <w:rPr>
        <w:rFonts w:hint="default"/>
        <w:lang w:val="en-au" w:eastAsia="en-au" w:bidi="en-au"/>
      </w:rPr>
    </w:lvl>
    <w:lvl w:ilvl="7">
      <w:start w:val="0"/>
      <w:numFmt w:val="bullet"/>
      <w:lvlText w:val="•"/>
      <w:lvlJc w:val="left"/>
      <w:pPr>
        <w:ind w:left="3179" w:hanging="361"/>
      </w:pPr>
      <w:rPr>
        <w:rFonts w:hint="default"/>
        <w:lang w:val="en-au" w:eastAsia="en-au" w:bidi="en-au"/>
      </w:rPr>
    </w:lvl>
    <w:lvl w:ilvl="8">
      <w:start w:val="0"/>
      <w:numFmt w:val="bullet"/>
      <w:lvlText w:val="•"/>
      <w:lvlJc w:val="left"/>
      <w:pPr>
        <w:ind w:left="3570" w:hanging="361"/>
      </w:pPr>
      <w:rPr>
        <w:rFonts w:hint="default"/>
        <w:lang w:val="en-au" w:eastAsia="en-au" w:bidi="en-au"/>
      </w:rPr>
    </w:lvl>
  </w:abstractNum>
  <w:abstractNum w:abstractNumId="92">
    <w:multiLevelType w:val="hybridMultilevel"/>
    <w:lvl w:ilvl="0">
      <w:start w:val="90"/>
      <w:numFmt w:val="decimal"/>
      <w:lvlText w:val="%1."/>
      <w:lvlJc w:val="left"/>
      <w:pPr>
        <w:ind w:left="749"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441" w:hanging="360"/>
      </w:pPr>
      <w:rPr>
        <w:rFonts w:hint="default"/>
        <w:lang w:val="en-au" w:eastAsia="en-au" w:bidi="en-au"/>
      </w:rPr>
    </w:lvl>
    <w:lvl w:ilvl="2">
      <w:start w:val="0"/>
      <w:numFmt w:val="bullet"/>
      <w:lvlText w:val="•"/>
      <w:lvlJc w:val="left"/>
      <w:pPr>
        <w:ind w:left="2143" w:hanging="360"/>
      </w:pPr>
      <w:rPr>
        <w:rFonts w:hint="default"/>
        <w:lang w:val="en-au" w:eastAsia="en-au" w:bidi="en-au"/>
      </w:rPr>
    </w:lvl>
    <w:lvl w:ilvl="3">
      <w:start w:val="0"/>
      <w:numFmt w:val="bullet"/>
      <w:lvlText w:val="•"/>
      <w:lvlJc w:val="left"/>
      <w:pPr>
        <w:ind w:left="2845" w:hanging="360"/>
      </w:pPr>
      <w:rPr>
        <w:rFonts w:hint="default"/>
        <w:lang w:val="en-au" w:eastAsia="en-au" w:bidi="en-au"/>
      </w:rPr>
    </w:lvl>
    <w:lvl w:ilvl="4">
      <w:start w:val="0"/>
      <w:numFmt w:val="bullet"/>
      <w:lvlText w:val="•"/>
      <w:lvlJc w:val="left"/>
      <w:pPr>
        <w:ind w:left="3547" w:hanging="360"/>
      </w:pPr>
      <w:rPr>
        <w:rFonts w:hint="default"/>
        <w:lang w:val="en-au" w:eastAsia="en-au" w:bidi="en-au"/>
      </w:rPr>
    </w:lvl>
    <w:lvl w:ilvl="5">
      <w:start w:val="0"/>
      <w:numFmt w:val="bullet"/>
      <w:lvlText w:val="•"/>
      <w:lvlJc w:val="left"/>
      <w:pPr>
        <w:ind w:left="4249" w:hanging="360"/>
      </w:pPr>
      <w:rPr>
        <w:rFonts w:hint="default"/>
        <w:lang w:val="en-au" w:eastAsia="en-au" w:bidi="en-au"/>
      </w:rPr>
    </w:lvl>
    <w:lvl w:ilvl="6">
      <w:start w:val="0"/>
      <w:numFmt w:val="bullet"/>
      <w:lvlText w:val="•"/>
      <w:lvlJc w:val="left"/>
      <w:pPr>
        <w:ind w:left="4951" w:hanging="360"/>
      </w:pPr>
      <w:rPr>
        <w:rFonts w:hint="default"/>
        <w:lang w:val="en-au" w:eastAsia="en-au" w:bidi="en-au"/>
      </w:rPr>
    </w:lvl>
    <w:lvl w:ilvl="7">
      <w:start w:val="0"/>
      <w:numFmt w:val="bullet"/>
      <w:lvlText w:val="•"/>
      <w:lvlJc w:val="left"/>
      <w:pPr>
        <w:ind w:left="5653" w:hanging="360"/>
      </w:pPr>
      <w:rPr>
        <w:rFonts w:hint="default"/>
        <w:lang w:val="en-au" w:eastAsia="en-au" w:bidi="en-au"/>
      </w:rPr>
    </w:lvl>
    <w:lvl w:ilvl="8">
      <w:start w:val="0"/>
      <w:numFmt w:val="bullet"/>
      <w:lvlText w:val="•"/>
      <w:lvlJc w:val="left"/>
      <w:pPr>
        <w:ind w:left="6355" w:hanging="360"/>
      </w:pPr>
      <w:rPr>
        <w:rFonts w:hint="default"/>
        <w:lang w:val="en-au" w:eastAsia="en-au" w:bidi="en-au"/>
      </w:rPr>
    </w:lvl>
  </w:abstractNum>
  <w:abstractNum w:abstractNumId="91">
    <w:multiLevelType w:val="hybridMultilevel"/>
    <w:lvl w:ilvl="0">
      <w:start w:val="0"/>
      <w:numFmt w:val="bullet"/>
      <w:lvlText w:val=""/>
      <w:lvlJc w:val="left"/>
      <w:pPr>
        <w:ind w:left="395" w:hanging="361"/>
      </w:pPr>
      <w:rPr>
        <w:rFonts w:hint="default" w:ascii="Symbol" w:hAnsi="Symbol" w:eastAsia="Symbol" w:cs="Symbol"/>
        <w:w w:val="100"/>
        <w:sz w:val="16"/>
        <w:szCs w:val="16"/>
        <w:lang w:val="en-au" w:eastAsia="en-au" w:bidi="en-au"/>
      </w:rPr>
    </w:lvl>
    <w:lvl w:ilvl="1">
      <w:start w:val="0"/>
      <w:numFmt w:val="bullet"/>
      <w:lvlText w:val="•"/>
      <w:lvlJc w:val="left"/>
      <w:pPr>
        <w:ind w:left="790" w:hanging="361"/>
      </w:pPr>
      <w:rPr>
        <w:rFonts w:hint="default"/>
        <w:lang w:val="en-au" w:eastAsia="en-au" w:bidi="en-au"/>
      </w:rPr>
    </w:lvl>
    <w:lvl w:ilvl="2">
      <w:start w:val="0"/>
      <w:numFmt w:val="bullet"/>
      <w:lvlText w:val="•"/>
      <w:lvlJc w:val="left"/>
      <w:pPr>
        <w:ind w:left="1181" w:hanging="361"/>
      </w:pPr>
      <w:rPr>
        <w:rFonts w:hint="default"/>
        <w:lang w:val="en-au" w:eastAsia="en-au" w:bidi="en-au"/>
      </w:rPr>
    </w:lvl>
    <w:lvl w:ilvl="3">
      <w:start w:val="0"/>
      <w:numFmt w:val="bullet"/>
      <w:lvlText w:val="•"/>
      <w:lvlJc w:val="left"/>
      <w:pPr>
        <w:ind w:left="1571" w:hanging="361"/>
      </w:pPr>
      <w:rPr>
        <w:rFonts w:hint="default"/>
        <w:lang w:val="en-au" w:eastAsia="en-au" w:bidi="en-au"/>
      </w:rPr>
    </w:lvl>
    <w:lvl w:ilvl="4">
      <w:start w:val="0"/>
      <w:numFmt w:val="bullet"/>
      <w:lvlText w:val="•"/>
      <w:lvlJc w:val="left"/>
      <w:pPr>
        <w:ind w:left="1962" w:hanging="361"/>
      </w:pPr>
      <w:rPr>
        <w:rFonts w:hint="default"/>
        <w:lang w:val="en-au" w:eastAsia="en-au" w:bidi="en-au"/>
      </w:rPr>
    </w:lvl>
    <w:lvl w:ilvl="5">
      <w:start w:val="0"/>
      <w:numFmt w:val="bullet"/>
      <w:lvlText w:val="•"/>
      <w:lvlJc w:val="left"/>
      <w:pPr>
        <w:ind w:left="2353" w:hanging="361"/>
      </w:pPr>
      <w:rPr>
        <w:rFonts w:hint="default"/>
        <w:lang w:val="en-au" w:eastAsia="en-au" w:bidi="en-au"/>
      </w:rPr>
    </w:lvl>
    <w:lvl w:ilvl="6">
      <w:start w:val="0"/>
      <w:numFmt w:val="bullet"/>
      <w:lvlText w:val="•"/>
      <w:lvlJc w:val="left"/>
      <w:pPr>
        <w:ind w:left="2743" w:hanging="361"/>
      </w:pPr>
      <w:rPr>
        <w:rFonts w:hint="default"/>
        <w:lang w:val="en-au" w:eastAsia="en-au" w:bidi="en-au"/>
      </w:rPr>
    </w:lvl>
    <w:lvl w:ilvl="7">
      <w:start w:val="0"/>
      <w:numFmt w:val="bullet"/>
      <w:lvlText w:val="•"/>
      <w:lvlJc w:val="left"/>
      <w:pPr>
        <w:ind w:left="3134" w:hanging="361"/>
      </w:pPr>
      <w:rPr>
        <w:rFonts w:hint="default"/>
        <w:lang w:val="en-au" w:eastAsia="en-au" w:bidi="en-au"/>
      </w:rPr>
    </w:lvl>
    <w:lvl w:ilvl="8">
      <w:start w:val="0"/>
      <w:numFmt w:val="bullet"/>
      <w:lvlText w:val="•"/>
      <w:lvlJc w:val="left"/>
      <w:pPr>
        <w:ind w:left="3524" w:hanging="361"/>
      </w:pPr>
      <w:rPr>
        <w:rFonts w:hint="default"/>
        <w:lang w:val="en-au" w:eastAsia="en-au" w:bidi="en-au"/>
      </w:rPr>
    </w:lvl>
  </w:abstractNum>
  <w:abstractNum w:abstractNumId="90">
    <w:multiLevelType w:val="hybridMultilevel"/>
    <w:lvl w:ilvl="0">
      <w:start w:val="85"/>
      <w:numFmt w:val="decimal"/>
      <w:lvlText w:val="%1."/>
      <w:lvlJc w:val="left"/>
      <w:pPr>
        <w:ind w:left="764"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465" w:hanging="360"/>
      </w:pPr>
      <w:rPr>
        <w:rFonts w:hint="default"/>
        <w:lang w:val="en-au" w:eastAsia="en-au" w:bidi="en-au"/>
      </w:rPr>
    </w:lvl>
    <w:lvl w:ilvl="2">
      <w:start w:val="0"/>
      <w:numFmt w:val="bullet"/>
      <w:lvlText w:val="•"/>
      <w:lvlJc w:val="left"/>
      <w:pPr>
        <w:ind w:left="2171" w:hanging="360"/>
      </w:pPr>
      <w:rPr>
        <w:rFonts w:hint="default"/>
        <w:lang w:val="en-au" w:eastAsia="en-au" w:bidi="en-au"/>
      </w:rPr>
    </w:lvl>
    <w:lvl w:ilvl="3">
      <w:start w:val="0"/>
      <w:numFmt w:val="bullet"/>
      <w:lvlText w:val="•"/>
      <w:lvlJc w:val="left"/>
      <w:pPr>
        <w:ind w:left="2877" w:hanging="360"/>
      </w:pPr>
      <w:rPr>
        <w:rFonts w:hint="default"/>
        <w:lang w:val="en-au" w:eastAsia="en-au" w:bidi="en-au"/>
      </w:rPr>
    </w:lvl>
    <w:lvl w:ilvl="4">
      <w:start w:val="0"/>
      <w:numFmt w:val="bullet"/>
      <w:lvlText w:val="•"/>
      <w:lvlJc w:val="left"/>
      <w:pPr>
        <w:ind w:left="3583" w:hanging="360"/>
      </w:pPr>
      <w:rPr>
        <w:rFonts w:hint="default"/>
        <w:lang w:val="en-au" w:eastAsia="en-au" w:bidi="en-au"/>
      </w:rPr>
    </w:lvl>
    <w:lvl w:ilvl="5">
      <w:start w:val="0"/>
      <w:numFmt w:val="bullet"/>
      <w:lvlText w:val="•"/>
      <w:lvlJc w:val="left"/>
      <w:pPr>
        <w:ind w:left="4289" w:hanging="360"/>
      </w:pPr>
      <w:rPr>
        <w:rFonts w:hint="default"/>
        <w:lang w:val="en-au" w:eastAsia="en-au" w:bidi="en-au"/>
      </w:rPr>
    </w:lvl>
    <w:lvl w:ilvl="6">
      <w:start w:val="0"/>
      <w:numFmt w:val="bullet"/>
      <w:lvlText w:val="•"/>
      <w:lvlJc w:val="left"/>
      <w:pPr>
        <w:ind w:left="4994" w:hanging="360"/>
      </w:pPr>
      <w:rPr>
        <w:rFonts w:hint="default"/>
        <w:lang w:val="en-au" w:eastAsia="en-au" w:bidi="en-au"/>
      </w:rPr>
    </w:lvl>
    <w:lvl w:ilvl="7">
      <w:start w:val="0"/>
      <w:numFmt w:val="bullet"/>
      <w:lvlText w:val="•"/>
      <w:lvlJc w:val="left"/>
      <w:pPr>
        <w:ind w:left="5700" w:hanging="360"/>
      </w:pPr>
      <w:rPr>
        <w:rFonts w:hint="default"/>
        <w:lang w:val="en-au" w:eastAsia="en-au" w:bidi="en-au"/>
      </w:rPr>
    </w:lvl>
    <w:lvl w:ilvl="8">
      <w:start w:val="0"/>
      <w:numFmt w:val="bullet"/>
      <w:lvlText w:val="•"/>
      <w:lvlJc w:val="left"/>
      <w:pPr>
        <w:ind w:left="6406" w:hanging="360"/>
      </w:pPr>
      <w:rPr>
        <w:rFonts w:hint="default"/>
        <w:lang w:val="en-au" w:eastAsia="en-au" w:bidi="en-au"/>
      </w:rPr>
    </w:lvl>
  </w:abstractNum>
  <w:abstractNum w:abstractNumId="89">
    <w:multiLevelType w:val="hybridMultilevel"/>
    <w:lvl w:ilvl="0">
      <w:start w:val="0"/>
      <w:numFmt w:val="bullet"/>
      <w:lvlText w:val=""/>
      <w:lvlJc w:val="left"/>
      <w:pPr>
        <w:ind w:left="395" w:hanging="361"/>
      </w:pPr>
      <w:rPr>
        <w:rFonts w:hint="default" w:ascii="Symbol" w:hAnsi="Symbol" w:eastAsia="Symbol" w:cs="Symbol"/>
        <w:w w:val="100"/>
        <w:sz w:val="16"/>
        <w:szCs w:val="16"/>
        <w:lang w:val="en-au" w:eastAsia="en-au" w:bidi="en-au"/>
      </w:rPr>
    </w:lvl>
    <w:lvl w:ilvl="1">
      <w:start w:val="0"/>
      <w:numFmt w:val="bullet"/>
      <w:lvlText w:val="•"/>
      <w:lvlJc w:val="left"/>
      <w:pPr>
        <w:ind w:left="790" w:hanging="361"/>
      </w:pPr>
      <w:rPr>
        <w:rFonts w:hint="default"/>
        <w:lang w:val="en-au" w:eastAsia="en-au" w:bidi="en-au"/>
      </w:rPr>
    </w:lvl>
    <w:lvl w:ilvl="2">
      <w:start w:val="0"/>
      <w:numFmt w:val="bullet"/>
      <w:lvlText w:val="•"/>
      <w:lvlJc w:val="left"/>
      <w:pPr>
        <w:ind w:left="1181" w:hanging="361"/>
      </w:pPr>
      <w:rPr>
        <w:rFonts w:hint="default"/>
        <w:lang w:val="en-au" w:eastAsia="en-au" w:bidi="en-au"/>
      </w:rPr>
    </w:lvl>
    <w:lvl w:ilvl="3">
      <w:start w:val="0"/>
      <w:numFmt w:val="bullet"/>
      <w:lvlText w:val="•"/>
      <w:lvlJc w:val="left"/>
      <w:pPr>
        <w:ind w:left="1571" w:hanging="361"/>
      </w:pPr>
      <w:rPr>
        <w:rFonts w:hint="default"/>
        <w:lang w:val="en-au" w:eastAsia="en-au" w:bidi="en-au"/>
      </w:rPr>
    </w:lvl>
    <w:lvl w:ilvl="4">
      <w:start w:val="0"/>
      <w:numFmt w:val="bullet"/>
      <w:lvlText w:val="•"/>
      <w:lvlJc w:val="left"/>
      <w:pPr>
        <w:ind w:left="1962" w:hanging="361"/>
      </w:pPr>
      <w:rPr>
        <w:rFonts w:hint="default"/>
        <w:lang w:val="en-au" w:eastAsia="en-au" w:bidi="en-au"/>
      </w:rPr>
    </w:lvl>
    <w:lvl w:ilvl="5">
      <w:start w:val="0"/>
      <w:numFmt w:val="bullet"/>
      <w:lvlText w:val="•"/>
      <w:lvlJc w:val="left"/>
      <w:pPr>
        <w:ind w:left="2353" w:hanging="361"/>
      </w:pPr>
      <w:rPr>
        <w:rFonts w:hint="default"/>
        <w:lang w:val="en-au" w:eastAsia="en-au" w:bidi="en-au"/>
      </w:rPr>
    </w:lvl>
    <w:lvl w:ilvl="6">
      <w:start w:val="0"/>
      <w:numFmt w:val="bullet"/>
      <w:lvlText w:val="•"/>
      <w:lvlJc w:val="left"/>
      <w:pPr>
        <w:ind w:left="2743" w:hanging="361"/>
      </w:pPr>
      <w:rPr>
        <w:rFonts w:hint="default"/>
        <w:lang w:val="en-au" w:eastAsia="en-au" w:bidi="en-au"/>
      </w:rPr>
    </w:lvl>
    <w:lvl w:ilvl="7">
      <w:start w:val="0"/>
      <w:numFmt w:val="bullet"/>
      <w:lvlText w:val="•"/>
      <w:lvlJc w:val="left"/>
      <w:pPr>
        <w:ind w:left="3134" w:hanging="361"/>
      </w:pPr>
      <w:rPr>
        <w:rFonts w:hint="default"/>
        <w:lang w:val="en-au" w:eastAsia="en-au" w:bidi="en-au"/>
      </w:rPr>
    </w:lvl>
    <w:lvl w:ilvl="8">
      <w:start w:val="0"/>
      <w:numFmt w:val="bullet"/>
      <w:lvlText w:val="•"/>
      <w:lvlJc w:val="left"/>
      <w:pPr>
        <w:ind w:left="3524" w:hanging="361"/>
      </w:pPr>
      <w:rPr>
        <w:rFonts w:hint="default"/>
        <w:lang w:val="en-au" w:eastAsia="en-au" w:bidi="en-au"/>
      </w:rPr>
    </w:lvl>
  </w:abstractNum>
  <w:abstractNum w:abstractNumId="88">
    <w:multiLevelType w:val="hybridMultilevel"/>
    <w:lvl w:ilvl="0">
      <w:start w:val="77"/>
      <w:numFmt w:val="decimal"/>
      <w:lvlText w:val="%1."/>
      <w:lvlJc w:val="left"/>
      <w:pPr>
        <w:ind w:left="764"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465" w:hanging="360"/>
      </w:pPr>
      <w:rPr>
        <w:rFonts w:hint="default"/>
        <w:lang w:val="en-au" w:eastAsia="en-au" w:bidi="en-au"/>
      </w:rPr>
    </w:lvl>
    <w:lvl w:ilvl="2">
      <w:start w:val="0"/>
      <w:numFmt w:val="bullet"/>
      <w:lvlText w:val="•"/>
      <w:lvlJc w:val="left"/>
      <w:pPr>
        <w:ind w:left="2171" w:hanging="360"/>
      </w:pPr>
      <w:rPr>
        <w:rFonts w:hint="default"/>
        <w:lang w:val="en-au" w:eastAsia="en-au" w:bidi="en-au"/>
      </w:rPr>
    </w:lvl>
    <w:lvl w:ilvl="3">
      <w:start w:val="0"/>
      <w:numFmt w:val="bullet"/>
      <w:lvlText w:val="•"/>
      <w:lvlJc w:val="left"/>
      <w:pPr>
        <w:ind w:left="2877" w:hanging="360"/>
      </w:pPr>
      <w:rPr>
        <w:rFonts w:hint="default"/>
        <w:lang w:val="en-au" w:eastAsia="en-au" w:bidi="en-au"/>
      </w:rPr>
    </w:lvl>
    <w:lvl w:ilvl="4">
      <w:start w:val="0"/>
      <w:numFmt w:val="bullet"/>
      <w:lvlText w:val="•"/>
      <w:lvlJc w:val="left"/>
      <w:pPr>
        <w:ind w:left="3583" w:hanging="360"/>
      </w:pPr>
      <w:rPr>
        <w:rFonts w:hint="default"/>
        <w:lang w:val="en-au" w:eastAsia="en-au" w:bidi="en-au"/>
      </w:rPr>
    </w:lvl>
    <w:lvl w:ilvl="5">
      <w:start w:val="0"/>
      <w:numFmt w:val="bullet"/>
      <w:lvlText w:val="•"/>
      <w:lvlJc w:val="left"/>
      <w:pPr>
        <w:ind w:left="4289" w:hanging="360"/>
      </w:pPr>
      <w:rPr>
        <w:rFonts w:hint="default"/>
        <w:lang w:val="en-au" w:eastAsia="en-au" w:bidi="en-au"/>
      </w:rPr>
    </w:lvl>
    <w:lvl w:ilvl="6">
      <w:start w:val="0"/>
      <w:numFmt w:val="bullet"/>
      <w:lvlText w:val="•"/>
      <w:lvlJc w:val="left"/>
      <w:pPr>
        <w:ind w:left="4994" w:hanging="360"/>
      </w:pPr>
      <w:rPr>
        <w:rFonts w:hint="default"/>
        <w:lang w:val="en-au" w:eastAsia="en-au" w:bidi="en-au"/>
      </w:rPr>
    </w:lvl>
    <w:lvl w:ilvl="7">
      <w:start w:val="0"/>
      <w:numFmt w:val="bullet"/>
      <w:lvlText w:val="•"/>
      <w:lvlJc w:val="left"/>
      <w:pPr>
        <w:ind w:left="5700" w:hanging="360"/>
      </w:pPr>
      <w:rPr>
        <w:rFonts w:hint="default"/>
        <w:lang w:val="en-au" w:eastAsia="en-au" w:bidi="en-au"/>
      </w:rPr>
    </w:lvl>
    <w:lvl w:ilvl="8">
      <w:start w:val="0"/>
      <w:numFmt w:val="bullet"/>
      <w:lvlText w:val="•"/>
      <w:lvlJc w:val="left"/>
      <w:pPr>
        <w:ind w:left="6406" w:hanging="360"/>
      </w:pPr>
      <w:rPr>
        <w:rFonts w:hint="default"/>
        <w:lang w:val="en-au" w:eastAsia="en-au" w:bidi="en-au"/>
      </w:rPr>
    </w:lvl>
  </w:abstractNum>
  <w:abstractNum w:abstractNumId="87">
    <w:multiLevelType w:val="hybridMultilevel"/>
    <w:lvl w:ilvl="0">
      <w:start w:val="0"/>
      <w:numFmt w:val="bullet"/>
      <w:lvlText w:val=""/>
      <w:lvlJc w:val="left"/>
      <w:pPr>
        <w:ind w:left="395" w:hanging="361"/>
      </w:pPr>
      <w:rPr>
        <w:rFonts w:hint="default" w:ascii="Symbol" w:hAnsi="Symbol" w:eastAsia="Symbol" w:cs="Symbol"/>
        <w:w w:val="100"/>
        <w:sz w:val="16"/>
        <w:szCs w:val="16"/>
        <w:lang w:val="en-au" w:eastAsia="en-au" w:bidi="en-au"/>
      </w:rPr>
    </w:lvl>
    <w:lvl w:ilvl="1">
      <w:start w:val="0"/>
      <w:numFmt w:val="bullet"/>
      <w:lvlText w:val="•"/>
      <w:lvlJc w:val="left"/>
      <w:pPr>
        <w:ind w:left="790" w:hanging="361"/>
      </w:pPr>
      <w:rPr>
        <w:rFonts w:hint="default"/>
        <w:lang w:val="en-au" w:eastAsia="en-au" w:bidi="en-au"/>
      </w:rPr>
    </w:lvl>
    <w:lvl w:ilvl="2">
      <w:start w:val="0"/>
      <w:numFmt w:val="bullet"/>
      <w:lvlText w:val="•"/>
      <w:lvlJc w:val="left"/>
      <w:pPr>
        <w:ind w:left="1181" w:hanging="361"/>
      </w:pPr>
      <w:rPr>
        <w:rFonts w:hint="default"/>
        <w:lang w:val="en-au" w:eastAsia="en-au" w:bidi="en-au"/>
      </w:rPr>
    </w:lvl>
    <w:lvl w:ilvl="3">
      <w:start w:val="0"/>
      <w:numFmt w:val="bullet"/>
      <w:lvlText w:val="•"/>
      <w:lvlJc w:val="left"/>
      <w:pPr>
        <w:ind w:left="1571" w:hanging="361"/>
      </w:pPr>
      <w:rPr>
        <w:rFonts w:hint="default"/>
        <w:lang w:val="en-au" w:eastAsia="en-au" w:bidi="en-au"/>
      </w:rPr>
    </w:lvl>
    <w:lvl w:ilvl="4">
      <w:start w:val="0"/>
      <w:numFmt w:val="bullet"/>
      <w:lvlText w:val="•"/>
      <w:lvlJc w:val="left"/>
      <w:pPr>
        <w:ind w:left="1962" w:hanging="361"/>
      </w:pPr>
      <w:rPr>
        <w:rFonts w:hint="default"/>
        <w:lang w:val="en-au" w:eastAsia="en-au" w:bidi="en-au"/>
      </w:rPr>
    </w:lvl>
    <w:lvl w:ilvl="5">
      <w:start w:val="0"/>
      <w:numFmt w:val="bullet"/>
      <w:lvlText w:val="•"/>
      <w:lvlJc w:val="left"/>
      <w:pPr>
        <w:ind w:left="2353" w:hanging="361"/>
      </w:pPr>
      <w:rPr>
        <w:rFonts w:hint="default"/>
        <w:lang w:val="en-au" w:eastAsia="en-au" w:bidi="en-au"/>
      </w:rPr>
    </w:lvl>
    <w:lvl w:ilvl="6">
      <w:start w:val="0"/>
      <w:numFmt w:val="bullet"/>
      <w:lvlText w:val="•"/>
      <w:lvlJc w:val="left"/>
      <w:pPr>
        <w:ind w:left="2743" w:hanging="361"/>
      </w:pPr>
      <w:rPr>
        <w:rFonts w:hint="default"/>
        <w:lang w:val="en-au" w:eastAsia="en-au" w:bidi="en-au"/>
      </w:rPr>
    </w:lvl>
    <w:lvl w:ilvl="7">
      <w:start w:val="0"/>
      <w:numFmt w:val="bullet"/>
      <w:lvlText w:val="•"/>
      <w:lvlJc w:val="left"/>
      <w:pPr>
        <w:ind w:left="3134" w:hanging="361"/>
      </w:pPr>
      <w:rPr>
        <w:rFonts w:hint="default"/>
        <w:lang w:val="en-au" w:eastAsia="en-au" w:bidi="en-au"/>
      </w:rPr>
    </w:lvl>
    <w:lvl w:ilvl="8">
      <w:start w:val="0"/>
      <w:numFmt w:val="bullet"/>
      <w:lvlText w:val="•"/>
      <w:lvlJc w:val="left"/>
      <w:pPr>
        <w:ind w:left="3524" w:hanging="361"/>
      </w:pPr>
      <w:rPr>
        <w:rFonts w:hint="default"/>
        <w:lang w:val="en-au" w:eastAsia="en-au" w:bidi="en-au"/>
      </w:rPr>
    </w:lvl>
  </w:abstractNum>
  <w:abstractNum w:abstractNumId="86">
    <w:multiLevelType w:val="hybridMultilevel"/>
    <w:lvl w:ilvl="0">
      <w:start w:val="68"/>
      <w:numFmt w:val="decimal"/>
      <w:lvlText w:val="%1."/>
      <w:lvlJc w:val="left"/>
      <w:pPr>
        <w:ind w:left="764"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465" w:hanging="360"/>
      </w:pPr>
      <w:rPr>
        <w:rFonts w:hint="default"/>
        <w:lang w:val="en-au" w:eastAsia="en-au" w:bidi="en-au"/>
      </w:rPr>
    </w:lvl>
    <w:lvl w:ilvl="2">
      <w:start w:val="0"/>
      <w:numFmt w:val="bullet"/>
      <w:lvlText w:val="•"/>
      <w:lvlJc w:val="left"/>
      <w:pPr>
        <w:ind w:left="2171" w:hanging="360"/>
      </w:pPr>
      <w:rPr>
        <w:rFonts w:hint="default"/>
        <w:lang w:val="en-au" w:eastAsia="en-au" w:bidi="en-au"/>
      </w:rPr>
    </w:lvl>
    <w:lvl w:ilvl="3">
      <w:start w:val="0"/>
      <w:numFmt w:val="bullet"/>
      <w:lvlText w:val="•"/>
      <w:lvlJc w:val="left"/>
      <w:pPr>
        <w:ind w:left="2877" w:hanging="360"/>
      </w:pPr>
      <w:rPr>
        <w:rFonts w:hint="default"/>
        <w:lang w:val="en-au" w:eastAsia="en-au" w:bidi="en-au"/>
      </w:rPr>
    </w:lvl>
    <w:lvl w:ilvl="4">
      <w:start w:val="0"/>
      <w:numFmt w:val="bullet"/>
      <w:lvlText w:val="•"/>
      <w:lvlJc w:val="left"/>
      <w:pPr>
        <w:ind w:left="3583" w:hanging="360"/>
      </w:pPr>
      <w:rPr>
        <w:rFonts w:hint="default"/>
        <w:lang w:val="en-au" w:eastAsia="en-au" w:bidi="en-au"/>
      </w:rPr>
    </w:lvl>
    <w:lvl w:ilvl="5">
      <w:start w:val="0"/>
      <w:numFmt w:val="bullet"/>
      <w:lvlText w:val="•"/>
      <w:lvlJc w:val="left"/>
      <w:pPr>
        <w:ind w:left="4289" w:hanging="360"/>
      </w:pPr>
      <w:rPr>
        <w:rFonts w:hint="default"/>
        <w:lang w:val="en-au" w:eastAsia="en-au" w:bidi="en-au"/>
      </w:rPr>
    </w:lvl>
    <w:lvl w:ilvl="6">
      <w:start w:val="0"/>
      <w:numFmt w:val="bullet"/>
      <w:lvlText w:val="•"/>
      <w:lvlJc w:val="left"/>
      <w:pPr>
        <w:ind w:left="4994" w:hanging="360"/>
      </w:pPr>
      <w:rPr>
        <w:rFonts w:hint="default"/>
        <w:lang w:val="en-au" w:eastAsia="en-au" w:bidi="en-au"/>
      </w:rPr>
    </w:lvl>
    <w:lvl w:ilvl="7">
      <w:start w:val="0"/>
      <w:numFmt w:val="bullet"/>
      <w:lvlText w:val="•"/>
      <w:lvlJc w:val="left"/>
      <w:pPr>
        <w:ind w:left="5700" w:hanging="360"/>
      </w:pPr>
      <w:rPr>
        <w:rFonts w:hint="default"/>
        <w:lang w:val="en-au" w:eastAsia="en-au" w:bidi="en-au"/>
      </w:rPr>
    </w:lvl>
    <w:lvl w:ilvl="8">
      <w:start w:val="0"/>
      <w:numFmt w:val="bullet"/>
      <w:lvlText w:val="•"/>
      <w:lvlJc w:val="left"/>
      <w:pPr>
        <w:ind w:left="6406" w:hanging="360"/>
      </w:pPr>
      <w:rPr>
        <w:rFonts w:hint="default"/>
        <w:lang w:val="en-au" w:eastAsia="en-au" w:bidi="en-au"/>
      </w:rPr>
    </w:lvl>
  </w:abstractNum>
  <w:abstractNum w:abstractNumId="85">
    <w:multiLevelType w:val="hybridMultilevel"/>
    <w:lvl w:ilvl="0">
      <w:start w:val="0"/>
      <w:numFmt w:val="bullet"/>
      <w:lvlText w:val=""/>
      <w:lvlJc w:val="left"/>
      <w:pPr>
        <w:ind w:left="421" w:hanging="361"/>
      </w:pPr>
      <w:rPr>
        <w:rFonts w:hint="default" w:ascii="Symbol" w:hAnsi="Symbol" w:eastAsia="Symbol" w:cs="Symbol"/>
        <w:w w:val="100"/>
        <w:sz w:val="16"/>
        <w:szCs w:val="16"/>
        <w:lang w:val="en-au" w:eastAsia="en-au" w:bidi="en-au"/>
      </w:rPr>
    </w:lvl>
    <w:lvl w:ilvl="1">
      <w:start w:val="0"/>
      <w:numFmt w:val="bullet"/>
      <w:lvlText w:val="•"/>
      <w:lvlJc w:val="left"/>
      <w:pPr>
        <w:ind w:left="811" w:hanging="361"/>
      </w:pPr>
      <w:rPr>
        <w:rFonts w:hint="default"/>
        <w:lang w:val="en-au" w:eastAsia="en-au" w:bidi="en-au"/>
      </w:rPr>
    </w:lvl>
    <w:lvl w:ilvl="2">
      <w:start w:val="0"/>
      <w:numFmt w:val="bullet"/>
      <w:lvlText w:val="•"/>
      <w:lvlJc w:val="left"/>
      <w:pPr>
        <w:ind w:left="1202" w:hanging="361"/>
      </w:pPr>
      <w:rPr>
        <w:rFonts w:hint="default"/>
        <w:lang w:val="en-au" w:eastAsia="en-au" w:bidi="en-au"/>
      </w:rPr>
    </w:lvl>
    <w:lvl w:ilvl="3">
      <w:start w:val="0"/>
      <w:numFmt w:val="bullet"/>
      <w:lvlText w:val="•"/>
      <w:lvlJc w:val="left"/>
      <w:pPr>
        <w:ind w:left="1593" w:hanging="361"/>
      </w:pPr>
      <w:rPr>
        <w:rFonts w:hint="default"/>
        <w:lang w:val="en-au" w:eastAsia="en-au" w:bidi="en-au"/>
      </w:rPr>
    </w:lvl>
    <w:lvl w:ilvl="4">
      <w:start w:val="0"/>
      <w:numFmt w:val="bullet"/>
      <w:lvlText w:val="•"/>
      <w:lvlJc w:val="left"/>
      <w:pPr>
        <w:ind w:left="1984" w:hanging="361"/>
      </w:pPr>
      <w:rPr>
        <w:rFonts w:hint="default"/>
        <w:lang w:val="en-au" w:eastAsia="en-au" w:bidi="en-au"/>
      </w:rPr>
    </w:lvl>
    <w:lvl w:ilvl="5">
      <w:start w:val="0"/>
      <w:numFmt w:val="bullet"/>
      <w:lvlText w:val="•"/>
      <w:lvlJc w:val="left"/>
      <w:pPr>
        <w:ind w:left="2375" w:hanging="361"/>
      </w:pPr>
      <w:rPr>
        <w:rFonts w:hint="default"/>
        <w:lang w:val="en-au" w:eastAsia="en-au" w:bidi="en-au"/>
      </w:rPr>
    </w:lvl>
    <w:lvl w:ilvl="6">
      <w:start w:val="0"/>
      <w:numFmt w:val="bullet"/>
      <w:lvlText w:val="•"/>
      <w:lvlJc w:val="left"/>
      <w:pPr>
        <w:ind w:left="2766" w:hanging="361"/>
      </w:pPr>
      <w:rPr>
        <w:rFonts w:hint="default"/>
        <w:lang w:val="en-au" w:eastAsia="en-au" w:bidi="en-au"/>
      </w:rPr>
    </w:lvl>
    <w:lvl w:ilvl="7">
      <w:start w:val="0"/>
      <w:numFmt w:val="bullet"/>
      <w:lvlText w:val="•"/>
      <w:lvlJc w:val="left"/>
      <w:pPr>
        <w:ind w:left="3157" w:hanging="361"/>
      </w:pPr>
      <w:rPr>
        <w:rFonts w:hint="default"/>
        <w:lang w:val="en-au" w:eastAsia="en-au" w:bidi="en-au"/>
      </w:rPr>
    </w:lvl>
    <w:lvl w:ilvl="8">
      <w:start w:val="0"/>
      <w:numFmt w:val="bullet"/>
      <w:lvlText w:val="•"/>
      <w:lvlJc w:val="left"/>
      <w:pPr>
        <w:ind w:left="3548" w:hanging="361"/>
      </w:pPr>
      <w:rPr>
        <w:rFonts w:hint="default"/>
        <w:lang w:val="en-au" w:eastAsia="en-au" w:bidi="en-au"/>
      </w:rPr>
    </w:lvl>
  </w:abstractNum>
  <w:abstractNum w:abstractNumId="84">
    <w:multiLevelType w:val="hybridMultilevel"/>
    <w:lvl w:ilvl="0">
      <w:start w:val="62"/>
      <w:numFmt w:val="decimal"/>
      <w:lvlText w:val="%1."/>
      <w:lvlJc w:val="left"/>
      <w:pPr>
        <w:ind w:left="593"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302" w:hanging="360"/>
      </w:pPr>
      <w:rPr>
        <w:rFonts w:hint="default"/>
        <w:lang w:val="en-au" w:eastAsia="en-au" w:bidi="en-au"/>
      </w:rPr>
    </w:lvl>
    <w:lvl w:ilvl="2">
      <w:start w:val="0"/>
      <w:numFmt w:val="bullet"/>
      <w:lvlText w:val="•"/>
      <w:lvlJc w:val="left"/>
      <w:pPr>
        <w:ind w:left="2004" w:hanging="360"/>
      </w:pPr>
      <w:rPr>
        <w:rFonts w:hint="default"/>
        <w:lang w:val="en-au" w:eastAsia="en-au" w:bidi="en-au"/>
      </w:rPr>
    </w:lvl>
    <w:lvl w:ilvl="3">
      <w:start w:val="0"/>
      <w:numFmt w:val="bullet"/>
      <w:lvlText w:val="•"/>
      <w:lvlJc w:val="left"/>
      <w:pPr>
        <w:ind w:left="2706" w:hanging="360"/>
      </w:pPr>
      <w:rPr>
        <w:rFonts w:hint="default"/>
        <w:lang w:val="en-au" w:eastAsia="en-au" w:bidi="en-au"/>
      </w:rPr>
    </w:lvl>
    <w:lvl w:ilvl="4">
      <w:start w:val="0"/>
      <w:numFmt w:val="bullet"/>
      <w:lvlText w:val="•"/>
      <w:lvlJc w:val="left"/>
      <w:pPr>
        <w:ind w:left="3408" w:hanging="360"/>
      </w:pPr>
      <w:rPr>
        <w:rFonts w:hint="default"/>
        <w:lang w:val="en-au" w:eastAsia="en-au" w:bidi="en-au"/>
      </w:rPr>
    </w:lvl>
    <w:lvl w:ilvl="5">
      <w:start w:val="0"/>
      <w:numFmt w:val="bullet"/>
      <w:lvlText w:val="•"/>
      <w:lvlJc w:val="left"/>
      <w:pPr>
        <w:ind w:left="4110" w:hanging="360"/>
      </w:pPr>
      <w:rPr>
        <w:rFonts w:hint="default"/>
        <w:lang w:val="en-au" w:eastAsia="en-au" w:bidi="en-au"/>
      </w:rPr>
    </w:lvl>
    <w:lvl w:ilvl="6">
      <w:start w:val="0"/>
      <w:numFmt w:val="bullet"/>
      <w:lvlText w:val="•"/>
      <w:lvlJc w:val="left"/>
      <w:pPr>
        <w:ind w:left="4812" w:hanging="360"/>
      </w:pPr>
      <w:rPr>
        <w:rFonts w:hint="default"/>
        <w:lang w:val="en-au" w:eastAsia="en-au" w:bidi="en-au"/>
      </w:rPr>
    </w:lvl>
    <w:lvl w:ilvl="7">
      <w:start w:val="0"/>
      <w:numFmt w:val="bullet"/>
      <w:lvlText w:val="•"/>
      <w:lvlJc w:val="left"/>
      <w:pPr>
        <w:ind w:left="5514" w:hanging="360"/>
      </w:pPr>
      <w:rPr>
        <w:rFonts w:hint="default"/>
        <w:lang w:val="en-au" w:eastAsia="en-au" w:bidi="en-au"/>
      </w:rPr>
    </w:lvl>
    <w:lvl w:ilvl="8">
      <w:start w:val="0"/>
      <w:numFmt w:val="bullet"/>
      <w:lvlText w:val="•"/>
      <w:lvlJc w:val="left"/>
      <w:pPr>
        <w:ind w:left="6216" w:hanging="360"/>
      </w:pPr>
      <w:rPr>
        <w:rFonts w:hint="default"/>
        <w:lang w:val="en-au" w:eastAsia="en-au" w:bidi="en-au"/>
      </w:rPr>
    </w:lvl>
  </w:abstractNum>
  <w:abstractNum w:abstractNumId="83">
    <w:multiLevelType w:val="hybridMultilevel"/>
    <w:lvl w:ilvl="0">
      <w:start w:val="0"/>
      <w:numFmt w:val="bullet"/>
      <w:lvlText w:val=""/>
      <w:lvlJc w:val="left"/>
      <w:pPr>
        <w:ind w:left="421" w:hanging="361"/>
      </w:pPr>
      <w:rPr>
        <w:rFonts w:hint="default" w:ascii="Symbol" w:hAnsi="Symbol" w:eastAsia="Symbol" w:cs="Symbol"/>
        <w:w w:val="100"/>
        <w:sz w:val="16"/>
        <w:szCs w:val="16"/>
        <w:lang w:val="en-au" w:eastAsia="en-au" w:bidi="en-au"/>
      </w:rPr>
    </w:lvl>
    <w:lvl w:ilvl="1">
      <w:start w:val="0"/>
      <w:numFmt w:val="bullet"/>
      <w:lvlText w:val="•"/>
      <w:lvlJc w:val="left"/>
      <w:pPr>
        <w:ind w:left="811" w:hanging="361"/>
      </w:pPr>
      <w:rPr>
        <w:rFonts w:hint="default"/>
        <w:lang w:val="en-au" w:eastAsia="en-au" w:bidi="en-au"/>
      </w:rPr>
    </w:lvl>
    <w:lvl w:ilvl="2">
      <w:start w:val="0"/>
      <w:numFmt w:val="bullet"/>
      <w:lvlText w:val="•"/>
      <w:lvlJc w:val="left"/>
      <w:pPr>
        <w:ind w:left="1202" w:hanging="361"/>
      </w:pPr>
      <w:rPr>
        <w:rFonts w:hint="default"/>
        <w:lang w:val="en-au" w:eastAsia="en-au" w:bidi="en-au"/>
      </w:rPr>
    </w:lvl>
    <w:lvl w:ilvl="3">
      <w:start w:val="0"/>
      <w:numFmt w:val="bullet"/>
      <w:lvlText w:val="•"/>
      <w:lvlJc w:val="left"/>
      <w:pPr>
        <w:ind w:left="1593" w:hanging="361"/>
      </w:pPr>
      <w:rPr>
        <w:rFonts w:hint="default"/>
        <w:lang w:val="en-au" w:eastAsia="en-au" w:bidi="en-au"/>
      </w:rPr>
    </w:lvl>
    <w:lvl w:ilvl="4">
      <w:start w:val="0"/>
      <w:numFmt w:val="bullet"/>
      <w:lvlText w:val="•"/>
      <w:lvlJc w:val="left"/>
      <w:pPr>
        <w:ind w:left="1984" w:hanging="361"/>
      </w:pPr>
      <w:rPr>
        <w:rFonts w:hint="default"/>
        <w:lang w:val="en-au" w:eastAsia="en-au" w:bidi="en-au"/>
      </w:rPr>
    </w:lvl>
    <w:lvl w:ilvl="5">
      <w:start w:val="0"/>
      <w:numFmt w:val="bullet"/>
      <w:lvlText w:val="•"/>
      <w:lvlJc w:val="left"/>
      <w:pPr>
        <w:ind w:left="2375" w:hanging="361"/>
      </w:pPr>
      <w:rPr>
        <w:rFonts w:hint="default"/>
        <w:lang w:val="en-au" w:eastAsia="en-au" w:bidi="en-au"/>
      </w:rPr>
    </w:lvl>
    <w:lvl w:ilvl="6">
      <w:start w:val="0"/>
      <w:numFmt w:val="bullet"/>
      <w:lvlText w:val="•"/>
      <w:lvlJc w:val="left"/>
      <w:pPr>
        <w:ind w:left="2766" w:hanging="361"/>
      </w:pPr>
      <w:rPr>
        <w:rFonts w:hint="default"/>
        <w:lang w:val="en-au" w:eastAsia="en-au" w:bidi="en-au"/>
      </w:rPr>
    </w:lvl>
    <w:lvl w:ilvl="7">
      <w:start w:val="0"/>
      <w:numFmt w:val="bullet"/>
      <w:lvlText w:val="•"/>
      <w:lvlJc w:val="left"/>
      <w:pPr>
        <w:ind w:left="3157" w:hanging="361"/>
      </w:pPr>
      <w:rPr>
        <w:rFonts w:hint="default"/>
        <w:lang w:val="en-au" w:eastAsia="en-au" w:bidi="en-au"/>
      </w:rPr>
    </w:lvl>
    <w:lvl w:ilvl="8">
      <w:start w:val="0"/>
      <w:numFmt w:val="bullet"/>
      <w:lvlText w:val="•"/>
      <w:lvlJc w:val="left"/>
      <w:pPr>
        <w:ind w:left="3548" w:hanging="361"/>
      </w:pPr>
      <w:rPr>
        <w:rFonts w:hint="default"/>
        <w:lang w:val="en-au" w:eastAsia="en-au" w:bidi="en-au"/>
      </w:rPr>
    </w:lvl>
  </w:abstractNum>
  <w:abstractNum w:abstractNumId="82">
    <w:multiLevelType w:val="hybridMultilevel"/>
    <w:lvl w:ilvl="0">
      <w:start w:val="53"/>
      <w:numFmt w:val="decimal"/>
      <w:lvlText w:val="%1."/>
      <w:lvlJc w:val="left"/>
      <w:pPr>
        <w:ind w:left="593"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302" w:hanging="360"/>
      </w:pPr>
      <w:rPr>
        <w:rFonts w:hint="default"/>
        <w:lang w:val="en-au" w:eastAsia="en-au" w:bidi="en-au"/>
      </w:rPr>
    </w:lvl>
    <w:lvl w:ilvl="2">
      <w:start w:val="0"/>
      <w:numFmt w:val="bullet"/>
      <w:lvlText w:val="•"/>
      <w:lvlJc w:val="left"/>
      <w:pPr>
        <w:ind w:left="2004" w:hanging="360"/>
      </w:pPr>
      <w:rPr>
        <w:rFonts w:hint="default"/>
        <w:lang w:val="en-au" w:eastAsia="en-au" w:bidi="en-au"/>
      </w:rPr>
    </w:lvl>
    <w:lvl w:ilvl="3">
      <w:start w:val="0"/>
      <w:numFmt w:val="bullet"/>
      <w:lvlText w:val="•"/>
      <w:lvlJc w:val="left"/>
      <w:pPr>
        <w:ind w:left="2706" w:hanging="360"/>
      </w:pPr>
      <w:rPr>
        <w:rFonts w:hint="default"/>
        <w:lang w:val="en-au" w:eastAsia="en-au" w:bidi="en-au"/>
      </w:rPr>
    </w:lvl>
    <w:lvl w:ilvl="4">
      <w:start w:val="0"/>
      <w:numFmt w:val="bullet"/>
      <w:lvlText w:val="•"/>
      <w:lvlJc w:val="left"/>
      <w:pPr>
        <w:ind w:left="3408" w:hanging="360"/>
      </w:pPr>
      <w:rPr>
        <w:rFonts w:hint="default"/>
        <w:lang w:val="en-au" w:eastAsia="en-au" w:bidi="en-au"/>
      </w:rPr>
    </w:lvl>
    <w:lvl w:ilvl="5">
      <w:start w:val="0"/>
      <w:numFmt w:val="bullet"/>
      <w:lvlText w:val="•"/>
      <w:lvlJc w:val="left"/>
      <w:pPr>
        <w:ind w:left="4110" w:hanging="360"/>
      </w:pPr>
      <w:rPr>
        <w:rFonts w:hint="default"/>
        <w:lang w:val="en-au" w:eastAsia="en-au" w:bidi="en-au"/>
      </w:rPr>
    </w:lvl>
    <w:lvl w:ilvl="6">
      <w:start w:val="0"/>
      <w:numFmt w:val="bullet"/>
      <w:lvlText w:val="•"/>
      <w:lvlJc w:val="left"/>
      <w:pPr>
        <w:ind w:left="4812" w:hanging="360"/>
      </w:pPr>
      <w:rPr>
        <w:rFonts w:hint="default"/>
        <w:lang w:val="en-au" w:eastAsia="en-au" w:bidi="en-au"/>
      </w:rPr>
    </w:lvl>
    <w:lvl w:ilvl="7">
      <w:start w:val="0"/>
      <w:numFmt w:val="bullet"/>
      <w:lvlText w:val="•"/>
      <w:lvlJc w:val="left"/>
      <w:pPr>
        <w:ind w:left="5514" w:hanging="360"/>
      </w:pPr>
      <w:rPr>
        <w:rFonts w:hint="default"/>
        <w:lang w:val="en-au" w:eastAsia="en-au" w:bidi="en-au"/>
      </w:rPr>
    </w:lvl>
    <w:lvl w:ilvl="8">
      <w:start w:val="0"/>
      <w:numFmt w:val="bullet"/>
      <w:lvlText w:val="•"/>
      <w:lvlJc w:val="left"/>
      <w:pPr>
        <w:ind w:left="6216" w:hanging="360"/>
      </w:pPr>
      <w:rPr>
        <w:rFonts w:hint="default"/>
        <w:lang w:val="en-au" w:eastAsia="en-au" w:bidi="en-au"/>
      </w:rPr>
    </w:lvl>
  </w:abstractNum>
  <w:abstractNum w:abstractNumId="81">
    <w:multiLevelType w:val="hybridMultilevel"/>
    <w:lvl w:ilvl="0">
      <w:start w:val="0"/>
      <w:numFmt w:val="bullet"/>
      <w:lvlText w:val=""/>
      <w:lvlJc w:val="left"/>
      <w:pPr>
        <w:ind w:left="421" w:hanging="361"/>
      </w:pPr>
      <w:rPr>
        <w:rFonts w:hint="default" w:ascii="Symbol" w:hAnsi="Symbol" w:eastAsia="Symbol" w:cs="Symbol"/>
        <w:w w:val="100"/>
        <w:sz w:val="16"/>
        <w:szCs w:val="16"/>
        <w:lang w:val="en-au" w:eastAsia="en-au" w:bidi="en-au"/>
      </w:rPr>
    </w:lvl>
    <w:lvl w:ilvl="1">
      <w:start w:val="0"/>
      <w:numFmt w:val="bullet"/>
      <w:lvlText w:val="•"/>
      <w:lvlJc w:val="left"/>
      <w:pPr>
        <w:ind w:left="811" w:hanging="361"/>
      </w:pPr>
      <w:rPr>
        <w:rFonts w:hint="default"/>
        <w:lang w:val="en-au" w:eastAsia="en-au" w:bidi="en-au"/>
      </w:rPr>
    </w:lvl>
    <w:lvl w:ilvl="2">
      <w:start w:val="0"/>
      <w:numFmt w:val="bullet"/>
      <w:lvlText w:val="•"/>
      <w:lvlJc w:val="left"/>
      <w:pPr>
        <w:ind w:left="1202" w:hanging="361"/>
      </w:pPr>
      <w:rPr>
        <w:rFonts w:hint="default"/>
        <w:lang w:val="en-au" w:eastAsia="en-au" w:bidi="en-au"/>
      </w:rPr>
    </w:lvl>
    <w:lvl w:ilvl="3">
      <w:start w:val="0"/>
      <w:numFmt w:val="bullet"/>
      <w:lvlText w:val="•"/>
      <w:lvlJc w:val="left"/>
      <w:pPr>
        <w:ind w:left="1593" w:hanging="361"/>
      </w:pPr>
      <w:rPr>
        <w:rFonts w:hint="default"/>
        <w:lang w:val="en-au" w:eastAsia="en-au" w:bidi="en-au"/>
      </w:rPr>
    </w:lvl>
    <w:lvl w:ilvl="4">
      <w:start w:val="0"/>
      <w:numFmt w:val="bullet"/>
      <w:lvlText w:val="•"/>
      <w:lvlJc w:val="left"/>
      <w:pPr>
        <w:ind w:left="1984" w:hanging="361"/>
      </w:pPr>
      <w:rPr>
        <w:rFonts w:hint="default"/>
        <w:lang w:val="en-au" w:eastAsia="en-au" w:bidi="en-au"/>
      </w:rPr>
    </w:lvl>
    <w:lvl w:ilvl="5">
      <w:start w:val="0"/>
      <w:numFmt w:val="bullet"/>
      <w:lvlText w:val="•"/>
      <w:lvlJc w:val="left"/>
      <w:pPr>
        <w:ind w:left="2375" w:hanging="361"/>
      </w:pPr>
      <w:rPr>
        <w:rFonts w:hint="default"/>
        <w:lang w:val="en-au" w:eastAsia="en-au" w:bidi="en-au"/>
      </w:rPr>
    </w:lvl>
    <w:lvl w:ilvl="6">
      <w:start w:val="0"/>
      <w:numFmt w:val="bullet"/>
      <w:lvlText w:val="•"/>
      <w:lvlJc w:val="left"/>
      <w:pPr>
        <w:ind w:left="2766" w:hanging="361"/>
      </w:pPr>
      <w:rPr>
        <w:rFonts w:hint="default"/>
        <w:lang w:val="en-au" w:eastAsia="en-au" w:bidi="en-au"/>
      </w:rPr>
    </w:lvl>
    <w:lvl w:ilvl="7">
      <w:start w:val="0"/>
      <w:numFmt w:val="bullet"/>
      <w:lvlText w:val="•"/>
      <w:lvlJc w:val="left"/>
      <w:pPr>
        <w:ind w:left="3157" w:hanging="361"/>
      </w:pPr>
      <w:rPr>
        <w:rFonts w:hint="default"/>
        <w:lang w:val="en-au" w:eastAsia="en-au" w:bidi="en-au"/>
      </w:rPr>
    </w:lvl>
    <w:lvl w:ilvl="8">
      <w:start w:val="0"/>
      <w:numFmt w:val="bullet"/>
      <w:lvlText w:val="•"/>
      <w:lvlJc w:val="left"/>
      <w:pPr>
        <w:ind w:left="3548" w:hanging="361"/>
      </w:pPr>
      <w:rPr>
        <w:rFonts w:hint="default"/>
        <w:lang w:val="en-au" w:eastAsia="en-au" w:bidi="en-au"/>
      </w:rPr>
    </w:lvl>
  </w:abstractNum>
  <w:abstractNum w:abstractNumId="80">
    <w:multiLevelType w:val="hybridMultilevel"/>
    <w:lvl w:ilvl="0">
      <w:start w:val="46"/>
      <w:numFmt w:val="decimal"/>
      <w:lvlText w:val="%1."/>
      <w:lvlJc w:val="left"/>
      <w:pPr>
        <w:ind w:left="593"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302" w:hanging="360"/>
      </w:pPr>
      <w:rPr>
        <w:rFonts w:hint="default"/>
        <w:lang w:val="en-au" w:eastAsia="en-au" w:bidi="en-au"/>
      </w:rPr>
    </w:lvl>
    <w:lvl w:ilvl="2">
      <w:start w:val="0"/>
      <w:numFmt w:val="bullet"/>
      <w:lvlText w:val="•"/>
      <w:lvlJc w:val="left"/>
      <w:pPr>
        <w:ind w:left="2004" w:hanging="360"/>
      </w:pPr>
      <w:rPr>
        <w:rFonts w:hint="default"/>
        <w:lang w:val="en-au" w:eastAsia="en-au" w:bidi="en-au"/>
      </w:rPr>
    </w:lvl>
    <w:lvl w:ilvl="3">
      <w:start w:val="0"/>
      <w:numFmt w:val="bullet"/>
      <w:lvlText w:val="•"/>
      <w:lvlJc w:val="left"/>
      <w:pPr>
        <w:ind w:left="2706" w:hanging="360"/>
      </w:pPr>
      <w:rPr>
        <w:rFonts w:hint="default"/>
        <w:lang w:val="en-au" w:eastAsia="en-au" w:bidi="en-au"/>
      </w:rPr>
    </w:lvl>
    <w:lvl w:ilvl="4">
      <w:start w:val="0"/>
      <w:numFmt w:val="bullet"/>
      <w:lvlText w:val="•"/>
      <w:lvlJc w:val="left"/>
      <w:pPr>
        <w:ind w:left="3408" w:hanging="360"/>
      </w:pPr>
      <w:rPr>
        <w:rFonts w:hint="default"/>
        <w:lang w:val="en-au" w:eastAsia="en-au" w:bidi="en-au"/>
      </w:rPr>
    </w:lvl>
    <w:lvl w:ilvl="5">
      <w:start w:val="0"/>
      <w:numFmt w:val="bullet"/>
      <w:lvlText w:val="•"/>
      <w:lvlJc w:val="left"/>
      <w:pPr>
        <w:ind w:left="4110" w:hanging="360"/>
      </w:pPr>
      <w:rPr>
        <w:rFonts w:hint="default"/>
        <w:lang w:val="en-au" w:eastAsia="en-au" w:bidi="en-au"/>
      </w:rPr>
    </w:lvl>
    <w:lvl w:ilvl="6">
      <w:start w:val="0"/>
      <w:numFmt w:val="bullet"/>
      <w:lvlText w:val="•"/>
      <w:lvlJc w:val="left"/>
      <w:pPr>
        <w:ind w:left="4812" w:hanging="360"/>
      </w:pPr>
      <w:rPr>
        <w:rFonts w:hint="default"/>
        <w:lang w:val="en-au" w:eastAsia="en-au" w:bidi="en-au"/>
      </w:rPr>
    </w:lvl>
    <w:lvl w:ilvl="7">
      <w:start w:val="0"/>
      <w:numFmt w:val="bullet"/>
      <w:lvlText w:val="•"/>
      <w:lvlJc w:val="left"/>
      <w:pPr>
        <w:ind w:left="5514" w:hanging="360"/>
      </w:pPr>
      <w:rPr>
        <w:rFonts w:hint="default"/>
        <w:lang w:val="en-au" w:eastAsia="en-au" w:bidi="en-au"/>
      </w:rPr>
    </w:lvl>
    <w:lvl w:ilvl="8">
      <w:start w:val="0"/>
      <w:numFmt w:val="bullet"/>
      <w:lvlText w:val="•"/>
      <w:lvlJc w:val="left"/>
      <w:pPr>
        <w:ind w:left="6216" w:hanging="360"/>
      </w:pPr>
      <w:rPr>
        <w:rFonts w:hint="default"/>
        <w:lang w:val="en-au" w:eastAsia="en-au" w:bidi="en-au"/>
      </w:rPr>
    </w:lvl>
  </w:abstractNum>
  <w:abstractNum w:abstractNumId="79">
    <w:multiLevelType w:val="hybridMultilevel"/>
    <w:lvl w:ilvl="0">
      <w:start w:val="0"/>
      <w:numFmt w:val="bullet"/>
      <w:lvlText w:val=""/>
      <w:lvlJc w:val="left"/>
      <w:pPr>
        <w:ind w:left="421" w:hanging="361"/>
      </w:pPr>
      <w:rPr>
        <w:rFonts w:hint="default" w:ascii="Symbol" w:hAnsi="Symbol" w:eastAsia="Symbol" w:cs="Symbol"/>
        <w:w w:val="100"/>
        <w:sz w:val="16"/>
        <w:szCs w:val="16"/>
        <w:lang w:val="en-au" w:eastAsia="en-au" w:bidi="en-au"/>
      </w:rPr>
    </w:lvl>
    <w:lvl w:ilvl="1">
      <w:start w:val="0"/>
      <w:numFmt w:val="bullet"/>
      <w:lvlText w:val="•"/>
      <w:lvlJc w:val="left"/>
      <w:pPr>
        <w:ind w:left="811" w:hanging="361"/>
      </w:pPr>
      <w:rPr>
        <w:rFonts w:hint="default"/>
        <w:lang w:val="en-au" w:eastAsia="en-au" w:bidi="en-au"/>
      </w:rPr>
    </w:lvl>
    <w:lvl w:ilvl="2">
      <w:start w:val="0"/>
      <w:numFmt w:val="bullet"/>
      <w:lvlText w:val="•"/>
      <w:lvlJc w:val="left"/>
      <w:pPr>
        <w:ind w:left="1202" w:hanging="361"/>
      </w:pPr>
      <w:rPr>
        <w:rFonts w:hint="default"/>
        <w:lang w:val="en-au" w:eastAsia="en-au" w:bidi="en-au"/>
      </w:rPr>
    </w:lvl>
    <w:lvl w:ilvl="3">
      <w:start w:val="0"/>
      <w:numFmt w:val="bullet"/>
      <w:lvlText w:val="•"/>
      <w:lvlJc w:val="left"/>
      <w:pPr>
        <w:ind w:left="1593" w:hanging="361"/>
      </w:pPr>
      <w:rPr>
        <w:rFonts w:hint="default"/>
        <w:lang w:val="en-au" w:eastAsia="en-au" w:bidi="en-au"/>
      </w:rPr>
    </w:lvl>
    <w:lvl w:ilvl="4">
      <w:start w:val="0"/>
      <w:numFmt w:val="bullet"/>
      <w:lvlText w:val="•"/>
      <w:lvlJc w:val="left"/>
      <w:pPr>
        <w:ind w:left="1984" w:hanging="361"/>
      </w:pPr>
      <w:rPr>
        <w:rFonts w:hint="default"/>
        <w:lang w:val="en-au" w:eastAsia="en-au" w:bidi="en-au"/>
      </w:rPr>
    </w:lvl>
    <w:lvl w:ilvl="5">
      <w:start w:val="0"/>
      <w:numFmt w:val="bullet"/>
      <w:lvlText w:val="•"/>
      <w:lvlJc w:val="left"/>
      <w:pPr>
        <w:ind w:left="2375" w:hanging="361"/>
      </w:pPr>
      <w:rPr>
        <w:rFonts w:hint="default"/>
        <w:lang w:val="en-au" w:eastAsia="en-au" w:bidi="en-au"/>
      </w:rPr>
    </w:lvl>
    <w:lvl w:ilvl="6">
      <w:start w:val="0"/>
      <w:numFmt w:val="bullet"/>
      <w:lvlText w:val="•"/>
      <w:lvlJc w:val="left"/>
      <w:pPr>
        <w:ind w:left="2766" w:hanging="361"/>
      </w:pPr>
      <w:rPr>
        <w:rFonts w:hint="default"/>
        <w:lang w:val="en-au" w:eastAsia="en-au" w:bidi="en-au"/>
      </w:rPr>
    </w:lvl>
    <w:lvl w:ilvl="7">
      <w:start w:val="0"/>
      <w:numFmt w:val="bullet"/>
      <w:lvlText w:val="•"/>
      <w:lvlJc w:val="left"/>
      <w:pPr>
        <w:ind w:left="3157" w:hanging="361"/>
      </w:pPr>
      <w:rPr>
        <w:rFonts w:hint="default"/>
        <w:lang w:val="en-au" w:eastAsia="en-au" w:bidi="en-au"/>
      </w:rPr>
    </w:lvl>
    <w:lvl w:ilvl="8">
      <w:start w:val="0"/>
      <w:numFmt w:val="bullet"/>
      <w:lvlText w:val="•"/>
      <w:lvlJc w:val="left"/>
      <w:pPr>
        <w:ind w:left="3548" w:hanging="361"/>
      </w:pPr>
      <w:rPr>
        <w:rFonts w:hint="default"/>
        <w:lang w:val="en-au" w:eastAsia="en-au" w:bidi="en-au"/>
      </w:rPr>
    </w:lvl>
  </w:abstractNum>
  <w:abstractNum w:abstractNumId="78">
    <w:multiLevelType w:val="hybridMultilevel"/>
    <w:lvl w:ilvl="0">
      <w:start w:val="42"/>
      <w:numFmt w:val="decimal"/>
      <w:lvlText w:val="%1."/>
      <w:lvlJc w:val="left"/>
      <w:pPr>
        <w:ind w:left="593"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302" w:hanging="360"/>
      </w:pPr>
      <w:rPr>
        <w:rFonts w:hint="default"/>
        <w:lang w:val="en-au" w:eastAsia="en-au" w:bidi="en-au"/>
      </w:rPr>
    </w:lvl>
    <w:lvl w:ilvl="2">
      <w:start w:val="0"/>
      <w:numFmt w:val="bullet"/>
      <w:lvlText w:val="•"/>
      <w:lvlJc w:val="left"/>
      <w:pPr>
        <w:ind w:left="2004" w:hanging="360"/>
      </w:pPr>
      <w:rPr>
        <w:rFonts w:hint="default"/>
        <w:lang w:val="en-au" w:eastAsia="en-au" w:bidi="en-au"/>
      </w:rPr>
    </w:lvl>
    <w:lvl w:ilvl="3">
      <w:start w:val="0"/>
      <w:numFmt w:val="bullet"/>
      <w:lvlText w:val="•"/>
      <w:lvlJc w:val="left"/>
      <w:pPr>
        <w:ind w:left="2706" w:hanging="360"/>
      </w:pPr>
      <w:rPr>
        <w:rFonts w:hint="default"/>
        <w:lang w:val="en-au" w:eastAsia="en-au" w:bidi="en-au"/>
      </w:rPr>
    </w:lvl>
    <w:lvl w:ilvl="4">
      <w:start w:val="0"/>
      <w:numFmt w:val="bullet"/>
      <w:lvlText w:val="•"/>
      <w:lvlJc w:val="left"/>
      <w:pPr>
        <w:ind w:left="3408" w:hanging="360"/>
      </w:pPr>
      <w:rPr>
        <w:rFonts w:hint="default"/>
        <w:lang w:val="en-au" w:eastAsia="en-au" w:bidi="en-au"/>
      </w:rPr>
    </w:lvl>
    <w:lvl w:ilvl="5">
      <w:start w:val="0"/>
      <w:numFmt w:val="bullet"/>
      <w:lvlText w:val="•"/>
      <w:lvlJc w:val="left"/>
      <w:pPr>
        <w:ind w:left="4110" w:hanging="360"/>
      </w:pPr>
      <w:rPr>
        <w:rFonts w:hint="default"/>
        <w:lang w:val="en-au" w:eastAsia="en-au" w:bidi="en-au"/>
      </w:rPr>
    </w:lvl>
    <w:lvl w:ilvl="6">
      <w:start w:val="0"/>
      <w:numFmt w:val="bullet"/>
      <w:lvlText w:val="•"/>
      <w:lvlJc w:val="left"/>
      <w:pPr>
        <w:ind w:left="4812" w:hanging="360"/>
      </w:pPr>
      <w:rPr>
        <w:rFonts w:hint="default"/>
        <w:lang w:val="en-au" w:eastAsia="en-au" w:bidi="en-au"/>
      </w:rPr>
    </w:lvl>
    <w:lvl w:ilvl="7">
      <w:start w:val="0"/>
      <w:numFmt w:val="bullet"/>
      <w:lvlText w:val="•"/>
      <w:lvlJc w:val="left"/>
      <w:pPr>
        <w:ind w:left="5514" w:hanging="360"/>
      </w:pPr>
      <w:rPr>
        <w:rFonts w:hint="default"/>
        <w:lang w:val="en-au" w:eastAsia="en-au" w:bidi="en-au"/>
      </w:rPr>
    </w:lvl>
    <w:lvl w:ilvl="8">
      <w:start w:val="0"/>
      <w:numFmt w:val="bullet"/>
      <w:lvlText w:val="•"/>
      <w:lvlJc w:val="left"/>
      <w:pPr>
        <w:ind w:left="6216" w:hanging="360"/>
      </w:pPr>
      <w:rPr>
        <w:rFonts w:hint="default"/>
        <w:lang w:val="en-au" w:eastAsia="en-au" w:bidi="en-au"/>
      </w:rPr>
    </w:lvl>
  </w:abstractNum>
  <w:abstractNum w:abstractNumId="77">
    <w:multiLevelType w:val="hybridMultilevel"/>
    <w:lvl w:ilvl="0">
      <w:start w:val="0"/>
      <w:numFmt w:val="bullet"/>
      <w:lvlText w:val=""/>
      <w:lvlJc w:val="left"/>
      <w:pPr>
        <w:ind w:left="488" w:hanging="361"/>
      </w:pPr>
      <w:rPr>
        <w:rFonts w:hint="default" w:ascii="Symbol" w:hAnsi="Symbol" w:eastAsia="Symbol" w:cs="Symbol"/>
        <w:w w:val="100"/>
        <w:sz w:val="16"/>
        <w:szCs w:val="16"/>
        <w:lang w:val="en-au" w:eastAsia="en-au" w:bidi="en-au"/>
      </w:rPr>
    </w:lvl>
    <w:lvl w:ilvl="1">
      <w:start w:val="0"/>
      <w:numFmt w:val="bullet"/>
      <w:lvlText w:val="•"/>
      <w:lvlJc w:val="left"/>
      <w:pPr>
        <w:ind w:left="873" w:hanging="361"/>
      </w:pPr>
      <w:rPr>
        <w:rFonts w:hint="default"/>
        <w:lang w:val="en-au" w:eastAsia="en-au" w:bidi="en-au"/>
      </w:rPr>
    </w:lvl>
    <w:lvl w:ilvl="2">
      <w:start w:val="0"/>
      <w:numFmt w:val="bullet"/>
      <w:lvlText w:val="•"/>
      <w:lvlJc w:val="left"/>
      <w:pPr>
        <w:ind w:left="1266" w:hanging="361"/>
      </w:pPr>
      <w:rPr>
        <w:rFonts w:hint="default"/>
        <w:lang w:val="en-au" w:eastAsia="en-au" w:bidi="en-au"/>
      </w:rPr>
    </w:lvl>
    <w:lvl w:ilvl="3">
      <w:start w:val="0"/>
      <w:numFmt w:val="bullet"/>
      <w:lvlText w:val="•"/>
      <w:lvlJc w:val="left"/>
      <w:pPr>
        <w:ind w:left="1660" w:hanging="361"/>
      </w:pPr>
      <w:rPr>
        <w:rFonts w:hint="default"/>
        <w:lang w:val="en-au" w:eastAsia="en-au" w:bidi="en-au"/>
      </w:rPr>
    </w:lvl>
    <w:lvl w:ilvl="4">
      <w:start w:val="0"/>
      <w:numFmt w:val="bullet"/>
      <w:lvlText w:val="•"/>
      <w:lvlJc w:val="left"/>
      <w:pPr>
        <w:ind w:left="2053" w:hanging="361"/>
      </w:pPr>
      <w:rPr>
        <w:rFonts w:hint="default"/>
        <w:lang w:val="en-au" w:eastAsia="en-au" w:bidi="en-au"/>
      </w:rPr>
    </w:lvl>
    <w:lvl w:ilvl="5">
      <w:start w:val="0"/>
      <w:numFmt w:val="bullet"/>
      <w:lvlText w:val="•"/>
      <w:lvlJc w:val="left"/>
      <w:pPr>
        <w:ind w:left="2447" w:hanging="361"/>
      </w:pPr>
      <w:rPr>
        <w:rFonts w:hint="default"/>
        <w:lang w:val="en-au" w:eastAsia="en-au" w:bidi="en-au"/>
      </w:rPr>
    </w:lvl>
    <w:lvl w:ilvl="6">
      <w:start w:val="0"/>
      <w:numFmt w:val="bullet"/>
      <w:lvlText w:val="•"/>
      <w:lvlJc w:val="left"/>
      <w:pPr>
        <w:ind w:left="2840" w:hanging="361"/>
      </w:pPr>
      <w:rPr>
        <w:rFonts w:hint="default"/>
        <w:lang w:val="en-au" w:eastAsia="en-au" w:bidi="en-au"/>
      </w:rPr>
    </w:lvl>
    <w:lvl w:ilvl="7">
      <w:start w:val="0"/>
      <w:numFmt w:val="bullet"/>
      <w:lvlText w:val="•"/>
      <w:lvlJc w:val="left"/>
      <w:pPr>
        <w:ind w:left="3233" w:hanging="361"/>
      </w:pPr>
      <w:rPr>
        <w:rFonts w:hint="default"/>
        <w:lang w:val="en-au" w:eastAsia="en-au" w:bidi="en-au"/>
      </w:rPr>
    </w:lvl>
    <w:lvl w:ilvl="8">
      <w:start w:val="0"/>
      <w:numFmt w:val="bullet"/>
      <w:lvlText w:val="•"/>
      <w:lvlJc w:val="left"/>
      <w:pPr>
        <w:ind w:left="3627" w:hanging="361"/>
      </w:pPr>
      <w:rPr>
        <w:rFonts w:hint="default"/>
        <w:lang w:val="en-au" w:eastAsia="en-au" w:bidi="en-au"/>
      </w:rPr>
    </w:lvl>
  </w:abstractNum>
  <w:abstractNum w:abstractNumId="76">
    <w:multiLevelType w:val="hybridMultilevel"/>
    <w:lvl w:ilvl="0">
      <w:start w:val="39"/>
      <w:numFmt w:val="decimal"/>
      <w:lvlText w:val="%1."/>
      <w:lvlJc w:val="left"/>
      <w:pPr>
        <w:ind w:left="614"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315" w:hanging="360"/>
      </w:pPr>
      <w:rPr>
        <w:rFonts w:hint="default"/>
        <w:lang w:val="en-au" w:eastAsia="en-au" w:bidi="en-au"/>
      </w:rPr>
    </w:lvl>
    <w:lvl w:ilvl="2">
      <w:start w:val="0"/>
      <w:numFmt w:val="bullet"/>
      <w:lvlText w:val="•"/>
      <w:lvlJc w:val="left"/>
      <w:pPr>
        <w:ind w:left="2011" w:hanging="360"/>
      </w:pPr>
      <w:rPr>
        <w:rFonts w:hint="default"/>
        <w:lang w:val="en-au" w:eastAsia="en-au" w:bidi="en-au"/>
      </w:rPr>
    </w:lvl>
    <w:lvl w:ilvl="3">
      <w:start w:val="0"/>
      <w:numFmt w:val="bullet"/>
      <w:lvlText w:val="•"/>
      <w:lvlJc w:val="left"/>
      <w:pPr>
        <w:ind w:left="2706" w:hanging="360"/>
      </w:pPr>
      <w:rPr>
        <w:rFonts w:hint="default"/>
        <w:lang w:val="en-au" w:eastAsia="en-au" w:bidi="en-au"/>
      </w:rPr>
    </w:lvl>
    <w:lvl w:ilvl="4">
      <w:start w:val="0"/>
      <w:numFmt w:val="bullet"/>
      <w:lvlText w:val="•"/>
      <w:lvlJc w:val="left"/>
      <w:pPr>
        <w:ind w:left="3402" w:hanging="360"/>
      </w:pPr>
      <w:rPr>
        <w:rFonts w:hint="default"/>
        <w:lang w:val="en-au" w:eastAsia="en-au" w:bidi="en-au"/>
      </w:rPr>
    </w:lvl>
    <w:lvl w:ilvl="5">
      <w:start w:val="0"/>
      <w:numFmt w:val="bullet"/>
      <w:lvlText w:val="•"/>
      <w:lvlJc w:val="left"/>
      <w:pPr>
        <w:ind w:left="4097" w:hanging="360"/>
      </w:pPr>
      <w:rPr>
        <w:rFonts w:hint="default"/>
        <w:lang w:val="en-au" w:eastAsia="en-au" w:bidi="en-au"/>
      </w:rPr>
    </w:lvl>
    <w:lvl w:ilvl="6">
      <w:start w:val="0"/>
      <w:numFmt w:val="bullet"/>
      <w:lvlText w:val="•"/>
      <w:lvlJc w:val="left"/>
      <w:pPr>
        <w:ind w:left="4793" w:hanging="360"/>
      </w:pPr>
      <w:rPr>
        <w:rFonts w:hint="default"/>
        <w:lang w:val="en-au" w:eastAsia="en-au" w:bidi="en-au"/>
      </w:rPr>
    </w:lvl>
    <w:lvl w:ilvl="7">
      <w:start w:val="0"/>
      <w:numFmt w:val="bullet"/>
      <w:lvlText w:val="•"/>
      <w:lvlJc w:val="left"/>
      <w:pPr>
        <w:ind w:left="5488" w:hanging="360"/>
      </w:pPr>
      <w:rPr>
        <w:rFonts w:hint="default"/>
        <w:lang w:val="en-au" w:eastAsia="en-au" w:bidi="en-au"/>
      </w:rPr>
    </w:lvl>
    <w:lvl w:ilvl="8">
      <w:start w:val="0"/>
      <w:numFmt w:val="bullet"/>
      <w:lvlText w:val="•"/>
      <w:lvlJc w:val="left"/>
      <w:pPr>
        <w:ind w:left="6184" w:hanging="360"/>
      </w:pPr>
      <w:rPr>
        <w:rFonts w:hint="default"/>
        <w:lang w:val="en-au" w:eastAsia="en-au" w:bidi="en-au"/>
      </w:rPr>
    </w:lvl>
  </w:abstractNum>
  <w:abstractNum w:abstractNumId="75">
    <w:multiLevelType w:val="hybridMultilevel"/>
    <w:lvl w:ilvl="0">
      <w:start w:val="0"/>
      <w:numFmt w:val="bullet"/>
      <w:lvlText w:val=""/>
      <w:lvlJc w:val="left"/>
      <w:pPr>
        <w:ind w:left="488" w:hanging="361"/>
      </w:pPr>
      <w:rPr>
        <w:rFonts w:hint="default" w:ascii="Symbol" w:hAnsi="Symbol" w:eastAsia="Symbol" w:cs="Symbol"/>
        <w:w w:val="100"/>
        <w:sz w:val="16"/>
        <w:szCs w:val="16"/>
        <w:lang w:val="en-au" w:eastAsia="en-au" w:bidi="en-au"/>
      </w:rPr>
    </w:lvl>
    <w:lvl w:ilvl="1">
      <w:start w:val="0"/>
      <w:numFmt w:val="bullet"/>
      <w:lvlText w:val="•"/>
      <w:lvlJc w:val="left"/>
      <w:pPr>
        <w:ind w:left="873" w:hanging="361"/>
      </w:pPr>
      <w:rPr>
        <w:rFonts w:hint="default"/>
        <w:lang w:val="en-au" w:eastAsia="en-au" w:bidi="en-au"/>
      </w:rPr>
    </w:lvl>
    <w:lvl w:ilvl="2">
      <w:start w:val="0"/>
      <w:numFmt w:val="bullet"/>
      <w:lvlText w:val="•"/>
      <w:lvlJc w:val="left"/>
      <w:pPr>
        <w:ind w:left="1266" w:hanging="361"/>
      </w:pPr>
      <w:rPr>
        <w:rFonts w:hint="default"/>
        <w:lang w:val="en-au" w:eastAsia="en-au" w:bidi="en-au"/>
      </w:rPr>
    </w:lvl>
    <w:lvl w:ilvl="3">
      <w:start w:val="0"/>
      <w:numFmt w:val="bullet"/>
      <w:lvlText w:val="•"/>
      <w:lvlJc w:val="left"/>
      <w:pPr>
        <w:ind w:left="1660" w:hanging="361"/>
      </w:pPr>
      <w:rPr>
        <w:rFonts w:hint="default"/>
        <w:lang w:val="en-au" w:eastAsia="en-au" w:bidi="en-au"/>
      </w:rPr>
    </w:lvl>
    <w:lvl w:ilvl="4">
      <w:start w:val="0"/>
      <w:numFmt w:val="bullet"/>
      <w:lvlText w:val="•"/>
      <w:lvlJc w:val="left"/>
      <w:pPr>
        <w:ind w:left="2053" w:hanging="361"/>
      </w:pPr>
      <w:rPr>
        <w:rFonts w:hint="default"/>
        <w:lang w:val="en-au" w:eastAsia="en-au" w:bidi="en-au"/>
      </w:rPr>
    </w:lvl>
    <w:lvl w:ilvl="5">
      <w:start w:val="0"/>
      <w:numFmt w:val="bullet"/>
      <w:lvlText w:val="•"/>
      <w:lvlJc w:val="left"/>
      <w:pPr>
        <w:ind w:left="2447" w:hanging="361"/>
      </w:pPr>
      <w:rPr>
        <w:rFonts w:hint="default"/>
        <w:lang w:val="en-au" w:eastAsia="en-au" w:bidi="en-au"/>
      </w:rPr>
    </w:lvl>
    <w:lvl w:ilvl="6">
      <w:start w:val="0"/>
      <w:numFmt w:val="bullet"/>
      <w:lvlText w:val="•"/>
      <w:lvlJc w:val="left"/>
      <w:pPr>
        <w:ind w:left="2840" w:hanging="361"/>
      </w:pPr>
      <w:rPr>
        <w:rFonts w:hint="default"/>
        <w:lang w:val="en-au" w:eastAsia="en-au" w:bidi="en-au"/>
      </w:rPr>
    </w:lvl>
    <w:lvl w:ilvl="7">
      <w:start w:val="0"/>
      <w:numFmt w:val="bullet"/>
      <w:lvlText w:val="•"/>
      <w:lvlJc w:val="left"/>
      <w:pPr>
        <w:ind w:left="3233" w:hanging="361"/>
      </w:pPr>
      <w:rPr>
        <w:rFonts w:hint="default"/>
        <w:lang w:val="en-au" w:eastAsia="en-au" w:bidi="en-au"/>
      </w:rPr>
    </w:lvl>
    <w:lvl w:ilvl="8">
      <w:start w:val="0"/>
      <w:numFmt w:val="bullet"/>
      <w:lvlText w:val="•"/>
      <w:lvlJc w:val="left"/>
      <w:pPr>
        <w:ind w:left="3627" w:hanging="361"/>
      </w:pPr>
      <w:rPr>
        <w:rFonts w:hint="default"/>
        <w:lang w:val="en-au" w:eastAsia="en-au" w:bidi="en-au"/>
      </w:rPr>
    </w:lvl>
  </w:abstractNum>
  <w:abstractNum w:abstractNumId="74">
    <w:multiLevelType w:val="hybridMultilevel"/>
    <w:lvl w:ilvl="0">
      <w:start w:val="34"/>
      <w:numFmt w:val="decimal"/>
      <w:lvlText w:val="%1."/>
      <w:lvlJc w:val="left"/>
      <w:pPr>
        <w:ind w:left="614"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315" w:hanging="360"/>
      </w:pPr>
      <w:rPr>
        <w:rFonts w:hint="default"/>
        <w:lang w:val="en-au" w:eastAsia="en-au" w:bidi="en-au"/>
      </w:rPr>
    </w:lvl>
    <w:lvl w:ilvl="2">
      <w:start w:val="0"/>
      <w:numFmt w:val="bullet"/>
      <w:lvlText w:val="•"/>
      <w:lvlJc w:val="left"/>
      <w:pPr>
        <w:ind w:left="2011" w:hanging="360"/>
      </w:pPr>
      <w:rPr>
        <w:rFonts w:hint="default"/>
        <w:lang w:val="en-au" w:eastAsia="en-au" w:bidi="en-au"/>
      </w:rPr>
    </w:lvl>
    <w:lvl w:ilvl="3">
      <w:start w:val="0"/>
      <w:numFmt w:val="bullet"/>
      <w:lvlText w:val="•"/>
      <w:lvlJc w:val="left"/>
      <w:pPr>
        <w:ind w:left="2706" w:hanging="360"/>
      </w:pPr>
      <w:rPr>
        <w:rFonts w:hint="default"/>
        <w:lang w:val="en-au" w:eastAsia="en-au" w:bidi="en-au"/>
      </w:rPr>
    </w:lvl>
    <w:lvl w:ilvl="4">
      <w:start w:val="0"/>
      <w:numFmt w:val="bullet"/>
      <w:lvlText w:val="•"/>
      <w:lvlJc w:val="left"/>
      <w:pPr>
        <w:ind w:left="3402" w:hanging="360"/>
      </w:pPr>
      <w:rPr>
        <w:rFonts w:hint="default"/>
        <w:lang w:val="en-au" w:eastAsia="en-au" w:bidi="en-au"/>
      </w:rPr>
    </w:lvl>
    <w:lvl w:ilvl="5">
      <w:start w:val="0"/>
      <w:numFmt w:val="bullet"/>
      <w:lvlText w:val="•"/>
      <w:lvlJc w:val="left"/>
      <w:pPr>
        <w:ind w:left="4097" w:hanging="360"/>
      </w:pPr>
      <w:rPr>
        <w:rFonts w:hint="default"/>
        <w:lang w:val="en-au" w:eastAsia="en-au" w:bidi="en-au"/>
      </w:rPr>
    </w:lvl>
    <w:lvl w:ilvl="6">
      <w:start w:val="0"/>
      <w:numFmt w:val="bullet"/>
      <w:lvlText w:val="•"/>
      <w:lvlJc w:val="left"/>
      <w:pPr>
        <w:ind w:left="4793" w:hanging="360"/>
      </w:pPr>
      <w:rPr>
        <w:rFonts w:hint="default"/>
        <w:lang w:val="en-au" w:eastAsia="en-au" w:bidi="en-au"/>
      </w:rPr>
    </w:lvl>
    <w:lvl w:ilvl="7">
      <w:start w:val="0"/>
      <w:numFmt w:val="bullet"/>
      <w:lvlText w:val="•"/>
      <w:lvlJc w:val="left"/>
      <w:pPr>
        <w:ind w:left="5488" w:hanging="360"/>
      </w:pPr>
      <w:rPr>
        <w:rFonts w:hint="default"/>
        <w:lang w:val="en-au" w:eastAsia="en-au" w:bidi="en-au"/>
      </w:rPr>
    </w:lvl>
    <w:lvl w:ilvl="8">
      <w:start w:val="0"/>
      <w:numFmt w:val="bullet"/>
      <w:lvlText w:val="•"/>
      <w:lvlJc w:val="left"/>
      <w:pPr>
        <w:ind w:left="6184" w:hanging="360"/>
      </w:pPr>
      <w:rPr>
        <w:rFonts w:hint="default"/>
        <w:lang w:val="en-au" w:eastAsia="en-au" w:bidi="en-au"/>
      </w:rPr>
    </w:lvl>
  </w:abstractNum>
  <w:abstractNum w:abstractNumId="73">
    <w:multiLevelType w:val="hybridMultilevel"/>
    <w:lvl w:ilvl="0">
      <w:start w:val="0"/>
      <w:numFmt w:val="bullet"/>
      <w:lvlText w:val=""/>
      <w:lvlJc w:val="left"/>
      <w:pPr>
        <w:ind w:left="488" w:hanging="361"/>
      </w:pPr>
      <w:rPr>
        <w:rFonts w:hint="default" w:ascii="Symbol" w:hAnsi="Symbol" w:eastAsia="Symbol" w:cs="Symbol"/>
        <w:w w:val="100"/>
        <w:sz w:val="16"/>
        <w:szCs w:val="16"/>
        <w:lang w:val="en-au" w:eastAsia="en-au" w:bidi="en-au"/>
      </w:rPr>
    </w:lvl>
    <w:lvl w:ilvl="1">
      <w:start w:val="0"/>
      <w:numFmt w:val="bullet"/>
      <w:lvlText w:val="•"/>
      <w:lvlJc w:val="left"/>
      <w:pPr>
        <w:ind w:left="873" w:hanging="361"/>
      </w:pPr>
      <w:rPr>
        <w:rFonts w:hint="default"/>
        <w:lang w:val="en-au" w:eastAsia="en-au" w:bidi="en-au"/>
      </w:rPr>
    </w:lvl>
    <w:lvl w:ilvl="2">
      <w:start w:val="0"/>
      <w:numFmt w:val="bullet"/>
      <w:lvlText w:val="•"/>
      <w:lvlJc w:val="left"/>
      <w:pPr>
        <w:ind w:left="1266" w:hanging="361"/>
      </w:pPr>
      <w:rPr>
        <w:rFonts w:hint="default"/>
        <w:lang w:val="en-au" w:eastAsia="en-au" w:bidi="en-au"/>
      </w:rPr>
    </w:lvl>
    <w:lvl w:ilvl="3">
      <w:start w:val="0"/>
      <w:numFmt w:val="bullet"/>
      <w:lvlText w:val="•"/>
      <w:lvlJc w:val="left"/>
      <w:pPr>
        <w:ind w:left="1660" w:hanging="361"/>
      </w:pPr>
      <w:rPr>
        <w:rFonts w:hint="default"/>
        <w:lang w:val="en-au" w:eastAsia="en-au" w:bidi="en-au"/>
      </w:rPr>
    </w:lvl>
    <w:lvl w:ilvl="4">
      <w:start w:val="0"/>
      <w:numFmt w:val="bullet"/>
      <w:lvlText w:val="•"/>
      <w:lvlJc w:val="left"/>
      <w:pPr>
        <w:ind w:left="2053" w:hanging="361"/>
      </w:pPr>
      <w:rPr>
        <w:rFonts w:hint="default"/>
        <w:lang w:val="en-au" w:eastAsia="en-au" w:bidi="en-au"/>
      </w:rPr>
    </w:lvl>
    <w:lvl w:ilvl="5">
      <w:start w:val="0"/>
      <w:numFmt w:val="bullet"/>
      <w:lvlText w:val="•"/>
      <w:lvlJc w:val="left"/>
      <w:pPr>
        <w:ind w:left="2447" w:hanging="361"/>
      </w:pPr>
      <w:rPr>
        <w:rFonts w:hint="default"/>
        <w:lang w:val="en-au" w:eastAsia="en-au" w:bidi="en-au"/>
      </w:rPr>
    </w:lvl>
    <w:lvl w:ilvl="6">
      <w:start w:val="0"/>
      <w:numFmt w:val="bullet"/>
      <w:lvlText w:val="•"/>
      <w:lvlJc w:val="left"/>
      <w:pPr>
        <w:ind w:left="2840" w:hanging="361"/>
      </w:pPr>
      <w:rPr>
        <w:rFonts w:hint="default"/>
        <w:lang w:val="en-au" w:eastAsia="en-au" w:bidi="en-au"/>
      </w:rPr>
    </w:lvl>
    <w:lvl w:ilvl="7">
      <w:start w:val="0"/>
      <w:numFmt w:val="bullet"/>
      <w:lvlText w:val="•"/>
      <w:lvlJc w:val="left"/>
      <w:pPr>
        <w:ind w:left="3233" w:hanging="361"/>
      </w:pPr>
      <w:rPr>
        <w:rFonts w:hint="default"/>
        <w:lang w:val="en-au" w:eastAsia="en-au" w:bidi="en-au"/>
      </w:rPr>
    </w:lvl>
    <w:lvl w:ilvl="8">
      <w:start w:val="0"/>
      <w:numFmt w:val="bullet"/>
      <w:lvlText w:val="•"/>
      <w:lvlJc w:val="left"/>
      <w:pPr>
        <w:ind w:left="3627" w:hanging="361"/>
      </w:pPr>
      <w:rPr>
        <w:rFonts w:hint="default"/>
        <w:lang w:val="en-au" w:eastAsia="en-au" w:bidi="en-au"/>
      </w:rPr>
    </w:lvl>
  </w:abstractNum>
  <w:abstractNum w:abstractNumId="72">
    <w:multiLevelType w:val="hybridMultilevel"/>
    <w:lvl w:ilvl="0">
      <w:start w:val="29"/>
      <w:numFmt w:val="decimal"/>
      <w:lvlText w:val="%1."/>
      <w:lvlJc w:val="left"/>
      <w:pPr>
        <w:ind w:left="614"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315" w:hanging="360"/>
      </w:pPr>
      <w:rPr>
        <w:rFonts w:hint="default"/>
        <w:lang w:val="en-au" w:eastAsia="en-au" w:bidi="en-au"/>
      </w:rPr>
    </w:lvl>
    <w:lvl w:ilvl="2">
      <w:start w:val="0"/>
      <w:numFmt w:val="bullet"/>
      <w:lvlText w:val="•"/>
      <w:lvlJc w:val="left"/>
      <w:pPr>
        <w:ind w:left="2011" w:hanging="360"/>
      </w:pPr>
      <w:rPr>
        <w:rFonts w:hint="default"/>
        <w:lang w:val="en-au" w:eastAsia="en-au" w:bidi="en-au"/>
      </w:rPr>
    </w:lvl>
    <w:lvl w:ilvl="3">
      <w:start w:val="0"/>
      <w:numFmt w:val="bullet"/>
      <w:lvlText w:val="•"/>
      <w:lvlJc w:val="left"/>
      <w:pPr>
        <w:ind w:left="2706" w:hanging="360"/>
      </w:pPr>
      <w:rPr>
        <w:rFonts w:hint="default"/>
        <w:lang w:val="en-au" w:eastAsia="en-au" w:bidi="en-au"/>
      </w:rPr>
    </w:lvl>
    <w:lvl w:ilvl="4">
      <w:start w:val="0"/>
      <w:numFmt w:val="bullet"/>
      <w:lvlText w:val="•"/>
      <w:lvlJc w:val="left"/>
      <w:pPr>
        <w:ind w:left="3402" w:hanging="360"/>
      </w:pPr>
      <w:rPr>
        <w:rFonts w:hint="default"/>
        <w:lang w:val="en-au" w:eastAsia="en-au" w:bidi="en-au"/>
      </w:rPr>
    </w:lvl>
    <w:lvl w:ilvl="5">
      <w:start w:val="0"/>
      <w:numFmt w:val="bullet"/>
      <w:lvlText w:val="•"/>
      <w:lvlJc w:val="left"/>
      <w:pPr>
        <w:ind w:left="4097" w:hanging="360"/>
      </w:pPr>
      <w:rPr>
        <w:rFonts w:hint="default"/>
        <w:lang w:val="en-au" w:eastAsia="en-au" w:bidi="en-au"/>
      </w:rPr>
    </w:lvl>
    <w:lvl w:ilvl="6">
      <w:start w:val="0"/>
      <w:numFmt w:val="bullet"/>
      <w:lvlText w:val="•"/>
      <w:lvlJc w:val="left"/>
      <w:pPr>
        <w:ind w:left="4793" w:hanging="360"/>
      </w:pPr>
      <w:rPr>
        <w:rFonts w:hint="default"/>
        <w:lang w:val="en-au" w:eastAsia="en-au" w:bidi="en-au"/>
      </w:rPr>
    </w:lvl>
    <w:lvl w:ilvl="7">
      <w:start w:val="0"/>
      <w:numFmt w:val="bullet"/>
      <w:lvlText w:val="•"/>
      <w:lvlJc w:val="left"/>
      <w:pPr>
        <w:ind w:left="5488" w:hanging="360"/>
      </w:pPr>
      <w:rPr>
        <w:rFonts w:hint="default"/>
        <w:lang w:val="en-au" w:eastAsia="en-au" w:bidi="en-au"/>
      </w:rPr>
    </w:lvl>
    <w:lvl w:ilvl="8">
      <w:start w:val="0"/>
      <w:numFmt w:val="bullet"/>
      <w:lvlText w:val="•"/>
      <w:lvlJc w:val="left"/>
      <w:pPr>
        <w:ind w:left="6184" w:hanging="360"/>
      </w:pPr>
      <w:rPr>
        <w:rFonts w:hint="default"/>
        <w:lang w:val="en-au" w:eastAsia="en-au" w:bidi="en-au"/>
      </w:rPr>
    </w:lvl>
  </w:abstractNum>
  <w:abstractNum w:abstractNumId="71">
    <w:multiLevelType w:val="hybridMultilevel"/>
    <w:lvl w:ilvl="0">
      <w:start w:val="23"/>
      <w:numFmt w:val="decimal"/>
      <w:lvlText w:val="%1."/>
      <w:lvlJc w:val="left"/>
      <w:pPr>
        <w:ind w:left="811"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487" w:hanging="360"/>
      </w:pPr>
      <w:rPr>
        <w:rFonts w:hint="default"/>
        <w:lang w:val="en-au" w:eastAsia="en-au" w:bidi="en-au"/>
      </w:rPr>
    </w:lvl>
    <w:lvl w:ilvl="2">
      <w:start w:val="0"/>
      <w:numFmt w:val="bullet"/>
      <w:lvlText w:val="•"/>
      <w:lvlJc w:val="left"/>
      <w:pPr>
        <w:ind w:left="2155" w:hanging="360"/>
      </w:pPr>
      <w:rPr>
        <w:rFonts w:hint="default"/>
        <w:lang w:val="en-au" w:eastAsia="en-au" w:bidi="en-au"/>
      </w:rPr>
    </w:lvl>
    <w:lvl w:ilvl="3">
      <w:start w:val="0"/>
      <w:numFmt w:val="bullet"/>
      <w:lvlText w:val="•"/>
      <w:lvlJc w:val="left"/>
      <w:pPr>
        <w:ind w:left="2822" w:hanging="360"/>
      </w:pPr>
      <w:rPr>
        <w:rFonts w:hint="default"/>
        <w:lang w:val="en-au" w:eastAsia="en-au" w:bidi="en-au"/>
      </w:rPr>
    </w:lvl>
    <w:lvl w:ilvl="4">
      <w:start w:val="0"/>
      <w:numFmt w:val="bullet"/>
      <w:lvlText w:val="•"/>
      <w:lvlJc w:val="left"/>
      <w:pPr>
        <w:ind w:left="3490" w:hanging="360"/>
      </w:pPr>
      <w:rPr>
        <w:rFonts w:hint="default"/>
        <w:lang w:val="en-au" w:eastAsia="en-au" w:bidi="en-au"/>
      </w:rPr>
    </w:lvl>
    <w:lvl w:ilvl="5">
      <w:start w:val="0"/>
      <w:numFmt w:val="bullet"/>
      <w:lvlText w:val="•"/>
      <w:lvlJc w:val="left"/>
      <w:pPr>
        <w:ind w:left="4157" w:hanging="360"/>
      </w:pPr>
      <w:rPr>
        <w:rFonts w:hint="default"/>
        <w:lang w:val="en-au" w:eastAsia="en-au" w:bidi="en-au"/>
      </w:rPr>
    </w:lvl>
    <w:lvl w:ilvl="6">
      <w:start w:val="0"/>
      <w:numFmt w:val="bullet"/>
      <w:lvlText w:val="•"/>
      <w:lvlJc w:val="left"/>
      <w:pPr>
        <w:ind w:left="4825" w:hanging="360"/>
      </w:pPr>
      <w:rPr>
        <w:rFonts w:hint="default"/>
        <w:lang w:val="en-au" w:eastAsia="en-au" w:bidi="en-au"/>
      </w:rPr>
    </w:lvl>
    <w:lvl w:ilvl="7">
      <w:start w:val="0"/>
      <w:numFmt w:val="bullet"/>
      <w:lvlText w:val="•"/>
      <w:lvlJc w:val="left"/>
      <w:pPr>
        <w:ind w:left="5492" w:hanging="360"/>
      </w:pPr>
      <w:rPr>
        <w:rFonts w:hint="default"/>
        <w:lang w:val="en-au" w:eastAsia="en-au" w:bidi="en-au"/>
      </w:rPr>
    </w:lvl>
    <w:lvl w:ilvl="8">
      <w:start w:val="0"/>
      <w:numFmt w:val="bullet"/>
      <w:lvlText w:val="•"/>
      <w:lvlJc w:val="left"/>
      <w:pPr>
        <w:ind w:left="6160" w:hanging="360"/>
      </w:pPr>
      <w:rPr>
        <w:rFonts w:hint="default"/>
        <w:lang w:val="en-au" w:eastAsia="en-au" w:bidi="en-au"/>
      </w:rPr>
    </w:lvl>
  </w:abstractNum>
  <w:abstractNum w:abstractNumId="70">
    <w:multiLevelType w:val="hybridMultilevel"/>
    <w:lvl w:ilvl="0">
      <w:start w:val="0"/>
      <w:numFmt w:val="bullet"/>
      <w:lvlText w:val=""/>
      <w:lvlJc w:val="left"/>
      <w:pPr>
        <w:ind w:left="418" w:hanging="360"/>
      </w:pPr>
      <w:rPr>
        <w:rFonts w:hint="default" w:ascii="Symbol" w:hAnsi="Symbol" w:eastAsia="Symbol" w:cs="Symbol"/>
        <w:w w:val="100"/>
        <w:sz w:val="16"/>
        <w:szCs w:val="16"/>
        <w:lang w:val="en-au" w:eastAsia="en-au" w:bidi="en-au"/>
      </w:rPr>
    </w:lvl>
    <w:lvl w:ilvl="1">
      <w:start w:val="0"/>
      <w:numFmt w:val="bullet"/>
      <w:lvlText w:val="•"/>
      <w:lvlJc w:val="left"/>
      <w:pPr>
        <w:ind w:left="849" w:hanging="360"/>
      </w:pPr>
      <w:rPr>
        <w:rFonts w:hint="default"/>
        <w:lang w:val="en-au" w:eastAsia="en-au" w:bidi="en-au"/>
      </w:rPr>
    </w:lvl>
    <w:lvl w:ilvl="2">
      <w:start w:val="0"/>
      <w:numFmt w:val="bullet"/>
      <w:lvlText w:val="•"/>
      <w:lvlJc w:val="left"/>
      <w:pPr>
        <w:ind w:left="1278" w:hanging="360"/>
      </w:pPr>
      <w:rPr>
        <w:rFonts w:hint="default"/>
        <w:lang w:val="en-au" w:eastAsia="en-au" w:bidi="en-au"/>
      </w:rPr>
    </w:lvl>
    <w:lvl w:ilvl="3">
      <w:start w:val="0"/>
      <w:numFmt w:val="bullet"/>
      <w:lvlText w:val="•"/>
      <w:lvlJc w:val="left"/>
      <w:pPr>
        <w:ind w:left="1708" w:hanging="360"/>
      </w:pPr>
      <w:rPr>
        <w:rFonts w:hint="default"/>
        <w:lang w:val="en-au" w:eastAsia="en-au" w:bidi="en-au"/>
      </w:rPr>
    </w:lvl>
    <w:lvl w:ilvl="4">
      <w:start w:val="0"/>
      <w:numFmt w:val="bullet"/>
      <w:lvlText w:val="•"/>
      <w:lvlJc w:val="left"/>
      <w:pPr>
        <w:ind w:left="2137" w:hanging="360"/>
      </w:pPr>
      <w:rPr>
        <w:rFonts w:hint="default"/>
        <w:lang w:val="en-au" w:eastAsia="en-au" w:bidi="en-au"/>
      </w:rPr>
    </w:lvl>
    <w:lvl w:ilvl="5">
      <w:start w:val="0"/>
      <w:numFmt w:val="bullet"/>
      <w:lvlText w:val="•"/>
      <w:lvlJc w:val="left"/>
      <w:pPr>
        <w:ind w:left="2567" w:hanging="360"/>
      </w:pPr>
      <w:rPr>
        <w:rFonts w:hint="default"/>
        <w:lang w:val="en-au" w:eastAsia="en-au" w:bidi="en-au"/>
      </w:rPr>
    </w:lvl>
    <w:lvl w:ilvl="6">
      <w:start w:val="0"/>
      <w:numFmt w:val="bullet"/>
      <w:lvlText w:val="•"/>
      <w:lvlJc w:val="left"/>
      <w:pPr>
        <w:ind w:left="2996" w:hanging="360"/>
      </w:pPr>
      <w:rPr>
        <w:rFonts w:hint="default"/>
        <w:lang w:val="en-au" w:eastAsia="en-au" w:bidi="en-au"/>
      </w:rPr>
    </w:lvl>
    <w:lvl w:ilvl="7">
      <w:start w:val="0"/>
      <w:numFmt w:val="bullet"/>
      <w:lvlText w:val="•"/>
      <w:lvlJc w:val="left"/>
      <w:pPr>
        <w:ind w:left="3425" w:hanging="360"/>
      </w:pPr>
      <w:rPr>
        <w:rFonts w:hint="default"/>
        <w:lang w:val="en-au" w:eastAsia="en-au" w:bidi="en-au"/>
      </w:rPr>
    </w:lvl>
    <w:lvl w:ilvl="8">
      <w:start w:val="0"/>
      <w:numFmt w:val="bullet"/>
      <w:lvlText w:val="•"/>
      <w:lvlJc w:val="left"/>
      <w:pPr>
        <w:ind w:left="3855" w:hanging="360"/>
      </w:pPr>
      <w:rPr>
        <w:rFonts w:hint="default"/>
        <w:lang w:val="en-au" w:eastAsia="en-au" w:bidi="en-au"/>
      </w:rPr>
    </w:lvl>
  </w:abstractNum>
  <w:abstractNum w:abstractNumId="69">
    <w:multiLevelType w:val="hybridMultilevel"/>
    <w:lvl w:ilvl="0">
      <w:start w:val="18"/>
      <w:numFmt w:val="decimal"/>
      <w:lvlText w:val="%1."/>
      <w:lvlJc w:val="left"/>
      <w:pPr>
        <w:ind w:left="811"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487" w:hanging="360"/>
      </w:pPr>
      <w:rPr>
        <w:rFonts w:hint="default"/>
        <w:lang w:val="en-au" w:eastAsia="en-au" w:bidi="en-au"/>
      </w:rPr>
    </w:lvl>
    <w:lvl w:ilvl="2">
      <w:start w:val="0"/>
      <w:numFmt w:val="bullet"/>
      <w:lvlText w:val="•"/>
      <w:lvlJc w:val="left"/>
      <w:pPr>
        <w:ind w:left="2155" w:hanging="360"/>
      </w:pPr>
      <w:rPr>
        <w:rFonts w:hint="default"/>
        <w:lang w:val="en-au" w:eastAsia="en-au" w:bidi="en-au"/>
      </w:rPr>
    </w:lvl>
    <w:lvl w:ilvl="3">
      <w:start w:val="0"/>
      <w:numFmt w:val="bullet"/>
      <w:lvlText w:val="•"/>
      <w:lvlJc w:val="left"/>
      <w:pPr>
        <w:ind w:left="2822" w:hanging="360"/>
      </w:pPr>
      <w:rPr>
        <w:rFonts w:hint="default"/>
        <w:lang w:val="en-au" w:eastAsia="en-au" w:bidi="en-au"/>
      </w:rPr>
    </w:lvl>
    <w:lvl w:ilvl="4">
      <w:start w:val="0"/>
      <w:numFmt w:val="bullet"/>
      <w:lvlText w:val="•"/>
      <w:lvlJc w:val="left"/>
      <w:pPr>
        <w:ind w:left="3490" w:hanging="360"/>
      </w:pPr>
      <w:rPr>
        <w:rFonts w:hint="default"/>
        <w:lang w:val="en-au" w:eastAsia="en-au" w:bidi="en-au"/>
      </w:rPr>
    </w:lvl>
    <w:lvl w:ilvl="5">
      <w:start w:val="0"/>
      <w:numFmt w:val="bullet"/>
      <w:lvlText w:val="•"/>
      <w:lvlJc w:val="left"/>
      <w:pPr>
        <w:ind w:left="4157" w:hanging="360"/>
      </w:pPr>
      <w:rPr>
        <w:rFonts w:hint="default"/>
        <w:lang w:val="en-au" w:eastAsia="en-au" w:bidi="en-au"/>
      </w:rPr>
    </w:lvl>
    <w:lvl w:ilvl="6">
      <w:start w:val="0"/>
      <w:numFmt w:val="bullet"/>
      <w:lvlText w:val="•"/>
      <w:lvlJc w:val="left"/>
      <w:pPr>
        <w:ind w:left="4825" w:hanging="360"/>
      </w:pPr>
      <w:rPr>
        <w:rFonts w:hint="default"/>
        <w:lang w:val="en-au" w:eastAsia="en-au" w:bidi="en-au"/>
      </w:rPr>
    </w:lvl>
    <w:lvl w:ilvl="7">
      <w:start w:val="0"/>
      <w:numFmt w:val="bullet"/>
      <w:lvlText w:val="•"/>
      <w:lvlJc w:val="left"/>
      <w:pPr>
        <w:ind w:left="5492" w:hanging="360"/>
      </w:pPr>
      <w:rPr>
        <w:rFonts w:hint="default"/>
        <w:lang w:val="en-au" w:eastAsia="en-au" w:bidi="en-au"/>
      </w:rPr>
    </w:lvl>
    <w:lvl w:ilvl="8">
      <w:start w:val="0"/>
      <w:numFmt w:val="bullet"/>
      <w:lvlText w:val="•"/>
      <w:lvlJc w:val="left"/>
      <w:pPr>
        <w:ind w:left="6160" w:hanging="360"/>
      </w:pPr>
      <w:rPr>
        <w:rFonts w:hint="default"/>
        <w:lang w:val="en-au" w:eastAsia="en-au" w:bidi="en-au"/>
      </w:rPr>
    </w:lvl>
  </w:abstractNum>
  <w:abstractNum w:abstractNumId="68">
    <w:multiLevelType w:val="hybridMultilevel"/>
    <w:lvl w:ilvl="0">
      <w:start w:val="0"/>
      <w:numFmt w:val="bullet"/>
      <w:lvlText w:val=""/>
      <w:lvlJc w:val="left"/>
      <w:pPr>
        <w:ind w:left="418" w:hanging="360"/>
      </w:pPr>
      <w:rPr>
        <w:rFonts w:hint="default" w:ascii="Symbol" w:hAnsi="Symbol" w:eastAsia="Symbol" w:cs="Symbol"/>
        <w:w w:val="100"/>
        <w:sz w:val="16"/>
        <w:szCs w:val="16"/>
        <w:lang w:val="en-au" w:eastAsia="en-au" w:bidi="en-au"/>
      </w:rPr>
    </w:lvl>
    <w:lvl w:ilvl="1">
      <w:start w:val="0"/>
      <w:numFmt w:val="bullet"/>
      <w:lvlText w:val="•"/>
      <w:lvlJc w:val="left"/>
      <w:pPr>
        <w:ind w:left="849" w:hanging="360"/>
      </w:pPr>
      <w:rPr>
        <w:rFonts w:hint="default"/>
        <w:lang w:val="en-au" w:eastAsia="en-au" w:bidi="en-au"/>
      </w:rPr>
    </w:lvl>
    <w:lvl w:ilvl="2">
      <w:start w:val="0"/>
      <w:numFmt w:val="bullet"/>
      <w:lvlText w:val="•"/>
      <w:lvlJc w:val="left"/>
      <w:pPr>
        <w:ind w:left="1278" w:hanging="360"/>
      </w:pPr>
      <w:rPr>
        <w:rFonts w:hint="default"/>
        <w:lang w:val="en-au" w:eastAsia="en-au" w:bidi="en-au"/>
      </w:rPr>
    </w:lvl>
    <w:lvl w:ilvl="3">
      <w:start w:val="0"/>
      <w:numFmt w:val="bullet"/>
      <w:lvlText w:val="•"/>
      <w:lvlJc w:val="left"/>
      <w:pPr>
        <w:ind w:left="1708" w:hanging="360"/>
      </w:pPr>
      <w:rPr>
        <w:rFonts w:hint="default"/>
        <w:lang w:val="en-au" w:eastAsia="en-au" w:bidi="en-au"/>
      </w:rPr>
    </w:lvl>
    <w:lvl w:ilvl="4">
      <w:start w:val="0"/>
      <w:numFmt w:val="bullet"/>
      <w:lvlText w:val="•"/>
      <w:lvlJc w:val="left"/>
      <w:pPr>
        <w:ind w:left="2137" w:hanging="360"/>
      </w:pPr>
      <w:rPr>
        <w:rFonts w:hint="default"/>
        <w:lang w:val="en-au" w:eastAsia="en-au" w:bidi="en-au"/>
      </w:rPr>
    </w:lvl>
    <w:lvl w:ilvl="5">
      <w:start w:val="0"/>
      <w:numFmt w:val="bullet"/>
      <w:lvlText w:val="•"/>
      <w:lvlJc w:val="left"/>
      <w:pPr>
        <w:ind w:left="2567" w:hanging="360"/>
      </w:pPr>
      <w:rPr>
        <w:rFonts w:hint="default"/>
        <w:lang w:val="en-au" w:eastAsia="en-au" w:bidi="en-au"/>
      </w:rPr>
    </w:lvl>
    <w:lvl w:ilvl="6">
      <w:start w:val="0"/>
      <w:numFmt w:val="bullet"/>
      <w:lvlText w:val="•"/>
      <w:lvlJc w:val="left"/>
      <w:pPr>
        <w:ind w:left="2996" w:hanging="360"/>
      </w:pPr>
      <w:rPr>
        <w:rFonts w:hint="default"/>
        <w:lang w:val="en-au" w:eastAsia="en-au" w:bidi="en-au"/>
      </w:rPr>
    </w:lvl>
    <w:lvl w:ilvl="7">
      <w:start w:val="0"/>
      <w:numFmt w:val="bullet"/>
      <w:lvlText w:val="•"/>
      <w:lvlJc w:val="left"/>
      <w:pPr>
        <w:ind w:left="3425" w:hanging="360"/>
      </w:pPr>
      <w:rPr>
        <w:rFonts w:hint="default"/>
        <w:lang w:val="en-au" w:eastAsia="en-au" w:bidi="en-au"/>
      </w:rPr>
    </w:lvl>
    <w:lvl w:ilvl="8">
      <w:start w:val="0"/>
      <w:numFmt w:val="bullet"/>
      <w:lvlText w:val="•"/>
      <w:lvlJc w:val="left"/>
      <w:pPr>
        <w:ind w:left="3855" w:hanging="360"/>
      </w:pPr>
      <w:rPr>
        <w:rFonts w:hint="default"/>
        <w:lang w:val="en-au" w:eastAsia="en-au" w:bidi="en-au"/>
      </w:rPr>
    </w:lvl>
  </w:abstractNum>
  <w:abstractNum w:abstractNumId="67">
    <w:multiLevelType w:val="hybridMultilevel"/>
    <w:lvl w:ilvl="0">
      <w:start w:val="13"/>
      <w:numFmt w:val="decimal"/>
      <w:lvlText w:val="%1."/>
      <w:lvlJc w:val="left"/>
      <w:pPr>
        <w:ind w:left="811"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487" w:hanging="360"/>
      </w:pPr>
      <w:rPr>
        <w:rFonts w:hint="default"/>
        <w:lang w:val="en-au" w:eastAsia="en-au" w:bidi="en-au"/>
      </w:rPr>
    </w:lvl>
    <w:lvl w:ilvl="2">
      <w:start w:val="0"/>
      <w:numFmt w:val="bullet"/>
      <w:lvlText w:val="•"/>
      <w:lvlJc w:val="left"/>
      <w:pPr>
        <w:ind w:left="2155" w:hanging="360"/>
      </w:pPr>
      <w:rPr>
        <w:rFonts w:hint="default"/>
        <w:lang w:val="en-au" w:eastAsia="en-au" w:bidi="en-au"/>
      </w:rPr>
    </w:lvl>
    <w:lvl w:ilvl="3">
      <w:start w:val="0"/>
      <w:numFmt w:val="bullet"/>
      <w:lvlText w:val="•"/>
      <w:lvlJc w:val="left"/>
      <w:pPr>
        <w:ind w:left="2822" w:hanging="360"/>
      </w:pPr>
      <w:rPr>
        <w:rFonts w:hint="default"/>
        <w:lang w:val="en-au" w:eastAsia="en-au" w:bidi="en-au"/>
      </w:rPr>
    </w:lvl>
    <w:lvl w:ilvl="4">
      <w:start w:val="0"/>
      <w:numFmt w:val="bullet"/>
      <w:lvlText w:val="•"/>
      <w:lvlJc w:val="left"/>
      <w:pPr>
        <w:ind w:left="3490" w:hanging="360"/>
      </w:pPr>
      <w:rPr>
        <w:rFonts w:hint="default"/>
        <w:lang w:val="en-au" w:eastAsia="en-au" w:bidi="en-au"/>
      </w:rPr>
    </w:lvl>
    <w:lvl w:ilvl="5">
      <w:start w:val="0"/>
      <w:numFmt w:val="bullet"/>
      <w:lvlText w:val="•"/>
      <w:lvlJc w:val="left"/>
      <w:pPr>
        <w:ind w:left="4157" w:hanging="360"/>
      </w:pPr>
      <w:rPr>
        <w:rFonts w:hint="default"/>
        <w:lang w:val="en-au" w:eastAsia="en-au" w:bidi="en-au"/>
      </w:rPr>
    </w:lvl>
    <w:lvl w:ilvl="6">
      <w:start w:val="0"/>
      <w:numFmt w:val="bullet"/>
      <w:lvlText w:val="•"/>
      <w:lvlJc w:val="left"/>
      <w:pPr>
        <w:ind w:left="4825" w:hanging="360"/>
      </w:pPr>
      <w:rPr>
        <w:rFonts w:hint="default"/>
        <w:lang w:val="en-au" w:eastAsia="en-au" w:bidi="en-au"/>
      </w:rPr>
    </w:lvl>
    <w:lvl w:ilvl="7">
      <w:start w:val="0"/>
      <w:numFmt w:val="bullet"/>
      <w:lvlText w:val="•"/>
      <w:lvlJc w:val="left"/>
      <w:pPr>
        <w:ind w:left="5492" w:hanging="360"/>
      </w:pPr>
      <w:rPr>
        <w:rFonts w:hint="default"/>
        <w:lang w:val="en-au" w:eastAsia="en-au" w:bidi="en-au"/>
      </w:rPr>
    </w:lvl>
    <w:lvl w:ilvl="8">
      <w:start w:val="0"/>
      <w:numFmt w:val="bullet"/>
      <w:lvlText w:val="•"/>
      <w:lvlJc w:val="left"/>
      <w:pPr>
        <w:ind w:left="6160" w:hanging="360"/>
      </w:pPr>
      <w:rPr>
        <w:rFonts w:hint="default"/>
        <w:lang w:val="en-au" w:eastAsia="en-au" w:bidi="en-au"/>
      </w:rPr>
    </w:lvl>
  </w:abstractNum>
  <w:abstractNum w:abstractNumId="66">
    <w:multiLevelType w:val="hybridMultilevel"/>
    <w:lvl w:ilvl="0">
      <w:start w:val="0"/>
      <w:numFmt w:val="bullet"/>
      <w:lvlText w:val=""/>
      <w:lvlJc w:val="left"/>
      <w:pPr>
        <w:ind w:left="418" w:hanging="360"/>
      </w:pPr>
      <w:rPr>
        <w:rFonts w:hint="default" w:ascii="Symbol" w:hAnsi="Symbol" w:eastAsia="Symbol" w:cs="Symbol"/>
        <w:w w:val="100"/>
        <w:sz w:val="16"/>
        <w:szCs w:val="16"/>
        <w:lang w:val="en-au" w:eastAsia="en-au" w:bidi="en-au"/>
      </w:rPr>
    </w:lvl>
    <w:lvl w:ilvl="1">
      <w:start w:val="0"/>
      <w:numFmt w:val="bullet"/>
      <w:lvlText w:val="•"/>
      <w:lvlJc w:val="left"/>
      <w:pPr>
        <w:ind w:left="849" w:hanging="360"/>
      </w:pPr>
      <w:rPr>
        <w:rFonts w:hint="default"/>
        <w:lang w:val="en-au" w:eastAsia="en-au" w:bidi="en-au"/>
      </w:rPr>
    </w:lvl>
    <w:lvl w:ilvl="2">
      <w:start w:val="0"/>
      <w:numFmt w:val="bullet"/>
      <w:lvlText w:val="•"/>
      <w:lvlJc w:val="left"/>
      <w:pPr>
        <w:ind w:left="1278" w:hanging="360"/>
      </w:pPr>
      <w:rPr>
        <w:rFonts w:hint="default"/>
        <w:lang w:val="en-au" w:eastAsia="en-au" w:bidi="en-au"/>
      </w:rPr>
    </w:lvl>
    <w:lvl w:ilvl="3">
      <w:start w:val="0"/>
      <w:numFmt w:val="bullet"/>
      <w:lvlText w:val="•"/>
      <w:lvlJc w:val="left"/>
      <w:pPr>
        <w:ind w:left="1708" w:hanging="360"/>
      </w:pPr>
      <w:rPr>
        <w:rFonts w:hint="default"/>
        <w:lang w:val="en-au" w:eastAsia="en-au" w:bidi="en-au"/>
      </w:rPr>
    </w:lvl>
    <w:lvl w:ilvl="4">
      <w:start w:val="0"/>
      <w:numFmt w:val="bullet"/>
      <w:lvlText w:val="•"/>
      <w:lvlJc w:val="left"/>
      <w:pPr>
        <w:ind w:left="2137" w:hanging="360"/>
      </w:pPr>
      <w:rPr>
        <w:rFonts w:hint="default"/>
        <w:lang w:val="en-au" w:eastAsia="en-au" w:bidi="en-au"/>
      </w:rPr>
    </w:lvl>
    <w:lvl w:ilvl="5">
      <w:start w:val="0"/>
      <w:numFmt w:val="bullet"/>
      <w:lvlText w:val="•"/>
      <w:lvlJc w:val="left"/>
      <w:pPr>
        <w:ind w:left="2567" w:hanging="360"/>
      </w:pPr>
      <w:rPr>
        <w:rFonts w:hint="default"/>
        <w:lang w:val="en-au" w:eastAsia="en-au" w:bidi="en-au"/>
      </w:rPr>
    </w:lvl>
    <w:lvl w:ilvl="6">
      <w:start w:val="0"/>
      <w:numFmt w:val="bullet"/>
      <w:lvlText w:val="•"/>
      <w:lvlJc w:val="left"/>
      <w:pPr>
        <w:ind w:left="2996" w:hanging="360"/>
      </w:pPr>
      <w:rPr>
        <w:rFonts w:hint="default"/>
        <w:lang w:val="en-au" w:eastAsia="en-au" w:bidi="en-au"/>
      </w:rPr>
    </w:lvl>
    <w:lvl w:ilvl="7">
      <w:start w:val="0"/>
      <w:numFmt w:val="bullet"/>
      <w:lvlText w:val="•"/>
      <w:lvlJc w:val="left"/>
      <w:pPr>
        <w:ind w:left="3425" w:hanging="360"/>
      </w:pPr>
      <w:rPr>
        <w:rFonts w:hint="default"/>
        <w:lang w:val="en-au" w:eastAsia="en-au" w:bidi="en-au"/>
      </w:rPr>
    </w:lvl>
    <w:lvl w:ilvl="8">
      <w:start w:val="0"/>
      <w:numFmt w:val="bullet"/>
      <w:lvlText w:val="•"/>
      <w:lvlJc w:val="left"/>
      <w:pPr>
        <w:ind w:left="3855" w:hanging="360"/>
      </w:pPr>
      <w:rPr>
        <w:rFonts w:hint="default"/>
        <w:lang w:val="en-au" w:eastAsia="en-au" w:bidi="en-au"/>
      </w:rPr>
    </w:lvl>
  </w:abstractNum>
  <w:abstractNum w:abstractNumId="65">
    <w:multiLevelType w:val="hybridMultilevel"/>
    <w:lvl w:ilvl="0">
      <w:start w:val="10"/>
      <w:numFmt w:val="decimal"/>
      <w:lvlText w:val="%1."/>
      <w:lvlJc w:val="left"/>
      <w:pPr>
        <w:ind w:left="811"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487" w:hanging="360"/>
      </w:pPr>
      <w:rPr>
        <w:rFonts w:hint="default"/>
        <w:lang w:val="en-au" w:eastAsia="en-au" w:bidi="en-au"/>
      </w:rPr>
    </w:lvl>
    <w:lvl w:ilvl="2">
      <w:start w:val="0"/>
      <w:numFmt w:val="bullet"/>
      <w:lvlText w:val="•"/>
      <w:lvlJc w:val="left"/>
      <w:pPr>
        <w:ind w:left="2155" w:hanging="360"/>
      </w:pPr>
      <w:rPr>
        <w:rFonts w:hint="default"/>
        <w:lang w:val="en-au" w:eastAsia="en-au" w:bidi="en-au"/>
      </w:rPr>
    </w:lvl>
    <w:lvl w:ilvl="3">
      <w:start w:val="0"/>
      <w:numFmt w:val="bullet"/>
      <w:lvlText w:val="•"/>
      <w:lvlJc w:val="left"/>
      <w:pPr>
        <w:ind w:left="2822" w:hanging="360"/>
      </w:pPr>
      <w:rPr>
        <w:rFonts w:hint="default"/>
        <w:lang w:val="en-au" w:eastAsia="en-au" w:bidi="en-au"/>
      </w:rPr>
    </w:lvl>
    <w:lvl w:ilvl="4">
      <w:start w:val="0"/>
      <w:numFmt w:val="bullet"/>
      <w:lvlText w:val="•"/>
      <w:lvlJc w:val="left"/>
      <w:pPr>
        <w:ind w:left="3490" w:hanging="360"/>
      </w:pPr>
      <w:rPr>
        <w:rFonts w:hint="default"/>
        <w:lang w:val="en-au" w:eastAsia="en-au" w:bidi="en-au"/>
      </w:rPr>
    </w:lvl>
    <w:lvl w:ilvl="5">
      <w:start w:val="0"/>
      <w:numFmt w:val="bullet"/>
      <w:lvlText w:val="•"/>
      <w:lvlJc w:val="left"/>
      <w:pPr>
        <w:ind w:left="4157" w:hanging="360"/>
      </w:pPr>
      <w:rPr>
        <w:rFonts w:hint="default"/>
        <w:lang w:val="en-au" w:eastAsia="en-au" w:bidi="en-au"/>
      </w:rPr>
    </w:lvl>
    <w:lvl w:ilvl="6">
      <w:start w:val="0"/>
      <w:numFmt w:val="bullet"/>
      <w:lvlText w:val="•"/>
      <w:lvlJc w:val="left"/>
      <w:pPr>
        <w:ind w:left="4825" w:hanging="360"/>
      </w:pPr>
      <w:rPr>
        <w:rFonts w:hint="default"/>
        <w:lang w:val="en-au" w:eastAsia="en-au" w:bidi="en-au"/>
      </w:rPr>
    </w:lvl>
    <w:lvl w:ilvl="7">
      <w:start w:val="0"/>
      <w:numFmt w:val="bullet"/>
      <w:lvlText w:val="•"/>
      <w:lvlJc w:val="left"/>
      <w:pPr>
        <w:ind w:left="5492" w:hanging="360"/>
      </w:pPr>
      <w:rPr>
        <w:rFonts w:hint="default"/>
        <w:lang w:val="en-au" w:eastAsia="en-au" w:bidi="en-au"/>
      </w:rPr>
    </w:lvl>
    <w:lvl w:ilvl="8">
      <w:start w:val="0"/>
      <w:numFmt w:val="bullet"/>
      <w:lvlText w:val="•"/>
      <w:lvlJc w:val="left"/>
      <w:pPr>
        <w:ind w:left="6160" w:hanging="360"/>
      </w:pPr>
      <w:rPr>
        <w:rFonts w:hint="default"/>
        <w:lang w:val="en-au" w:eastAsia="en-au" w:bidi="en-au"/>
      </w:rPr>
    </w:lvl>
  </w:abstractNum>
  <w:abstractNum w:abstractNumId="64">
    <w:multiLevelType w:val="hybridMultilevel"/>
    <w:lvl w:ilvl="0">
      <w:start w:val="0"/>
      <w:numFmt w:val="bullet"/>
      <w:lvlText w:val=""/>
      <w:lvlJc w:val="left"/>
      <w:pPr>
        <w:ind w:left="416" w:hanging="361"/>
      </w:pPr>
      <w:rPr>
        <w:rFonts w:hint="default" w:ascii="Symbol" w:hAnsi="Symbol" w:eastAsia="Symbol" w:cs="Symbol"/>
        <w:w w:val="100"/>
        <w:sz w:val="16"/>
        <w:szCs w:val="16"/>
        <w:lang w:val="en-au" w:eastAsia="en-au" w:bidi="en-au"/>
      </w:rPr>
    </w:lvl>
    <w:lvl w:ilvl="1">
      <w:start w:val="0"/>
      <w:numFmt w:val="bullet"/>
      <w:lvlText w:val="•"/>
      <w:lvlJc w:val="left"/>
      <w:pPr>
        <w:ind w:left="822" w:hanging="361"/>
      </w:pPr>
      <w:rPr>
        <w:rFonts w:hint="default"/>
        <w:lang w:val="en-au" w:eastAsia="en-au" w:bidi="en-au"/>
      </w:rPr>
    </w:lvl>
    <w:lvl w:ilvl="2">
      <w:start w:val="0"/>
      <w:numFmt w:val="bullet"/>
      <w:lvlText w:val="•"/>
      <w:lvlJc w:val="left"/>
      <w:pPr>
        <w:ind w:left="1225" w:hanging="361"/>
      </w:pPr>
      <w:rPr>
        <w:rFonts w:hint="default"/>
        <w:lang w:val="en-au" w:eastAsia="en-au" w:bidi="en-au"/>
      </w:rPr>
    </w:lvl>
    <w:lvl w:ilvl="3">
      <w:start w:val="0"/>
      <w:numFmt w:val="bullet"/>
      <w:lvlText w:val="•"/>
      <w:lvlJc w:val="left"/>
      <w:pPr>
        <w:ind w:left="1628" w:hanging="361"/>
      </w:pPr>
      <w:rPr>
        <w:rFonts w:hint="default"/>
        <w:lang w:val="en-au" w:eastAsia="en-au" w:bidi="en-au"/>
      </w:rPr>
    </w:lvl>
    <w:lvl w:ilvl="4">
      <w:start w:val="0"/>
      <w:numFmt w:val="bullet"/>
      <w:lvlText w:val="•"/>
      <w:lvlJc w:val="left"/>
      <w:pPr>
        <w:ind w:left="2031" w:hanging="361"/>
      </w:pPr>
      <w:rPr>
        <w:rFonts w:hint="default"/>
        <w:lang w:val="en-au" w:eastAsia="en-au" w:bidi="en-au"/>
      </w:rPr>
    </w:lvl>
    <w:lvl w:ilvl="5">
      <w:start w:val="0"/>
      <w:numFmt w:val="bullet"/>
      <w:lvlText w:val="•"/>
      <w:lvlJc w:val="left"/>
      <w:pPr>
        <w:ind w:left="2434" w:hanging="361"/>
      </w:pPr>
      <w:rPr>
        <w:rFonts w:hint="default"/>
        <w:lang w:val="en-au" w:eastAsia="en-au" w:bidi="en-au"/>
      </w:rPr>
    </w:lvl>
    <w:lvl w:ilvl="6">
      <w:start w:val="0"/>
      <w:numFmt w:val="bullet"/>
      <w:lvlText w:val="•"/>
      <w:lvlJc w:val="left"/>
      <w:pPr>
        <w:ind w:left="2836" w:hanging="361"/>
      </w:pPr>
      <w:rPr>
        <w:rFonts w:hint="default"/>
        <w:lang w:val="en-au" w:eastAsia="en-au" w:bidi="en-au"/>
      </w:rPr>
    </w:lvl>
    <w:lvl w:ilvl="7">
      <w:start w:val="0"/>
      <w:numFmt w:val="bullet"/>
      <w:lvlText w:val="•"/>
      <w:lvlJc w:val="left"/>
      <w:pPr>
        <w:ind w:left="3239" w:hanging="361"/>
      </w:pPr>
      <w:rPr>
        <w:rFonts w:hint="default"/>
        <w:lang w:val="en-au" w:eastAsia="en-au" w:bidi="en-au"/>
      </w:rPr>
    </w:lvl>
    <w:lvl w:ilvl="8">
      <w:start w:val="0"/>
      <w:numFmt w:val="bullet"/>
      <w:lvlText w:val="•"/>
      <w:lvlJc w:val="left"/>
      <w:pPr>
        <w:ind w:left="3642" w:hanging="361"/>
      </w:pPr>
      <w:rPr>
        <w:rFonts w:hint="default"/>
        <w:lang w:val="en-au" w:eastAsia="en-au" w:bidi="en-au"/>
      </w:rPr>
    </w:lvl>
  </w:abstractNum>
  <w:abstractNum w:abstractNumId="63">
    <w:multiLevelType w:val="hybridMultilevel"/>
    <w:lvl w:ilvl="0">
      <w:start w:val="8"/>
      <w:numFmt w:val="decimal"/>
      <w:lvlText w:val="%1."/>
      <w:lvlJc w:val="left"/>
      <w:pPr>
        <w:ind w:left="924"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622" w:hanging="360"/>
      </w:pPr>
      <w:rPr>
        <w:rFonts w:hint="default"/>
        <w:lang w:val="en-au" w:eastAsia="en-au" w:bidi="en-au"/>
      </w:rPr>
    </w:lvl>
    <w:lvl w:ilvl="2">
      <w:start w:val="0"/>
      <w:numFmt w:val="bullet"/>
      <w:lvlText w:val="•"/>
      <w:lvlJc w:val="left"/>
      <w:pPr>
        <w:ind w:left="2324" w:hanging="360"/>
      </w:pPr>
      <w:rPr>
        <w:rFonts w:hint="default"/>
        <w:lang w:val="en-au" w:eastAsia="en-au" w:bidi="en-au"/>
      </w:rPr>
    </w:lvl>
    <w:lvl w:ilvl="3">
      <w:start w:val="0"/>
      <w:numFmt w:val="bullet"/>
      <w:lvlText w:val="•"/>
      <w:lvlJc w:val="left"/>
      <w:pPr>
        <w:ind w:left="3026" w:hanging="360"/>
      </w:pPr>
      <w:rPr>
        <w:rFonts w:hint="default"/>
        <w:lang w:val="en-au" w:eastAsia="en-au" w:bidi="en-au"/>
      </w:rPr>
    </w:lvl>
    <w:lvl w:ilvl="4">
      <w:start w:val="0"/>
      <w:numFmt w:val="bullet"/>
      <w:lvlText w:val="•"/>
      <w:lvlJc w:val="left"/>
      <w:pPr>
        <w:ind w:left="3729" w:hanging="360"/>
      </w:pPr>
      <w:rPr>
        <w:rFonts w:hint="default"/>
        <w:lang w:val="en-au" w:eastAsia="en-au" w:bidi="en-au"/>
      </w:rPr>
    </w:lvl>
    <w:lvl w:ilvl="5">
      <w:start w:val="0"/>
      <w:numFmt w:val="bullet"/>
      <w:lvlText w:val="•"/>
      <w:lvlJc w:val="left"/>
      <w:pPr>
        <w:ind w:left="4431" w:hanging="360"/>
      </w:pPr>
      <w:rPr>
        <w:rFonts w:hint="default"/>
        <w:lang w:val="en-au" w:eastAsia="en-au" w:bidi="en-au"/>
      </w:rPr>
    </w:lvl>
    <w:lvl w:ilvl="6">
      <w:start w:val="0"/>
      <w:numFmt w:val="bullet"/>
      <w:lvlText w:val="•"/>
      <w:lvlJc w:val="left"/>
      <w:pPr>
        <w:ind w:left="5133" w:hanging="360"/>
      </w:pPr>
      <w:rPr>
        <w:rFonts w:hint="default"/>
        <w:lang w:val="en-au" w:eastAsia="en-au" w:bidi="en-au"/>
      </w:rPr>
    </w:lvl>
    <w:lvl w:ilvl="7">
      <w:start w:val="0"/>
      <w:numFmt w:val="bullet"/>
      <w:lvlText w:val="•"/>
      <w:lvlJc w:val="left"/>
      <w:pPr>
        <w:ind w:left="5836" w:hanging="360"/>
      </w:pPr>
      <w:rPr>
        <w:rFonts w:hint="default"/>
        <w:lang w:val="en-au" w:eastAsia="en-au" w:bidi="en-au"/>
      </w:rPr>
    </w:lvl>
    <w:lvl w:ilvl="8">
      <w:start w:val="0"/>
      <w:numFmt w:val="bullet"/>
      <w:lvlText w:val="•"/>
      <w:lvlJc w:val="left"/>
      <w:pPr>
        <w:ind w:left="6538" w:hanging="360"/>
      </w:pPr>
      <w:rPr>
        <w:rFonts w:hint="default"/>
        <w:lang w:val="en-au" w:eastAsia="en-au" w:bidi="en-au"/>
      </w:rPr>
    </w:lvl>
  </w:abstractNum>
  <w:abstractNum w:abstractNumId="62">
    <w:multiLevelType w:val="hybridMultilevel"/>
    <w:lvl w:ilvl="0">
      <w:start w:val="0"/>
      <w:numFmt w:val="bullet"/>
      <w:lvlText w:val=""/>
      <w:lvlJc w:val="left"/>
      <w:pPr>
        <w:ind w:left="416" w:hanging="361"/>
      </w:pPr>
      <w:rPr>
        <w:rFonts w:hint="default" w:ascii="Symbol" w:hAnsi="Symbol" w:eastAsia="Symbol" w:cs="Symbol"/>
        <w:w w:val="100"/>
        <w:sz w:val="16"/>
        <w:szCs w:val="16"/>
        <w:lang w:val="en-au" w:eastAsia="en-au" w:bidi="en-au"/>
      </w:rPr>
    </w:lvl>
    <w:lvl w:ilvl="1">
      <w:start w:val="0"/>
      <w:numFmt w:val="bullet"/>
      <w:lvlText w:val="•"/>
      <w:lvlJc w:val="left"/>
      <w:pPr>
        <w:ind w:left="822" w:hanging="361"/>
      </w:pPr>
      <w:rPr>
        <w:rFonts w:hint="default"/>
        <w:lang w:val="en-au" w:eastAsia="en-au" w:bidi="en-au"/>
      </w:rPr>
    </w:lvl>
    <w:lvl w:ilvl="2">
      <w:start w:val="0"/>
      <w:numFmt w:val="bullet"/>
      <w:lvlText w:val="•"/>
      <w:lvlJc w:val="left"/>
      <w:pPr>
        <w:ind w:left="1225" w:hanging="361"/>
      </w:pPr>
      <w:rPr>
        <w:rFonts w:hint="default"/>
        <w:lang w:val="en-au" w:eastAsia="en-au" w:bidi="en-au"/>
      </w:rPr>
    </w:lvl>
    <w:lvl w:ilvl="3">
      <w:start w:val="0"/>
      <w:numFmt w:val="bullet"/>
      <w:lvlText w:val="•"/>
      <w:lvlJc w:val="left"/>
      <w:pPr>
        <w:ind w:left="1628" w:hanging="361"/>
      </w:pPr>
      <w:rPr>
        <w:rFonts w:hint="default"/>
        <w:lang w:val="en-au" w:eastAsia="en-au" w:bidi="en-au"/>
      </w:rPr>
    </w:lvl>
    <w:lvl w:ilvl="4">
      <w:start w:val="0"/>
      <w:numFmt w:val="bullet"/>
      <w:lvlText w:val="•"/>
      <w:lvlJc w:val="left"/>
      <w:pPr>
        <w:ind w:left="2031" w:hanging="361"/>
      </w:pPr>
      <w:rPr>
        <w:rFonts w:hint="default"/>
        <w:lang w:val="en-au" w:eastAsia="en-au" w:bidi="en-au"/>
      </w:rPr>
    </w:lvl>
    <w:lvl w:ilvl="5">
      <w:start w:val="0"/>
      <w:numFmt w:val="bullet"/>
      <w:lvlText w:val="•"/>
      <w:lvlJc w:val="left"/>
      <w:pPr>
        <w:ind w:left="2434" w:hanging="361"/>
      </w:pPr>
      <w:rPr>
        <w:rFonts w:hint="default"/>
        <w:lang w:val="en-au" w:eastAsia="en-au" w:bidi="en-au"/>
      </w:rPr>
    </w:lvl>
    <w:lvl w:ilvl="6">
      <w:start w:val="0"/>
      <w:numFmt w:val="bullet"/>
      <w:lvlText w:val="•"/>
      <w:lvlJc w:val="left"/>
      <w:pPr>
        <w:ind w:left="2836" w:hanging="361"/>
      </w:pPr>
      <w:rPr>
        <w:rFonts w:hint="default"/>
        <w:lang w:val="en-au" w:eastAsia="en-au" w:bidi="en-au"/>
      </w:rPr>
    </w:lvl>
    <w:lvl w:ilvl="7">
      <w:start w:val="0"/>
      <w:numFmt w:val="bullet"/>
      <w:lvlText w:val="•"/>
      <w:lvlJc w:val="left"/>
      <w:pPr>
        <w:ind w:left="3239" w:hanging="361"/>
      </w:pPr>
      <w:rPr>
        <w:rFonts w:hint="default"/>
        <w:lang w:val="en-au" w:eastAsia="en-au" w:bidi="en-au"/>
      </w:rPr>
    </w:lvl>
    <w:lvl w:ilvl="8">
      <w:start w:val="0"/>
      <w:numFmt w:val="bullet"/>
      <w:lvlText w:val="•"/>
      <w:lvlJc w:val="left"/>
      <w:pPr>
        <w:ind w:left="3642" w:hanging="361"/>
      </w:pPr>
      <w:rPr>
        <w:rFonts w:hint="default"/>
        <w:lang w:val="en-au" w:eastAsia="en-au" w:bidi="en-au"/>
      </w:rPr>
    </w:lvl>
  </w:abstractNum>
  <w:abstractNum w:abstractNumId="61">
    <w:multiLevelType w:val="hybridMultilevel"/>
    <w:lvl w:ilvl="0">
      <w:start w:val="5"/>
      <w:numFmt w:val="decimal"/>
      <w:lvlText w:val="%1."/>
      <w:lvlJc w:val="left"/>
      <w:pPr>
        <w:ind w:left="924"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622" w:hanging="360"/>
      </w:pPr>
      <w:rPr>
        <w:rFonts w:hint="default"/>
        <w:lang w:val="en-au" w:eastAsia="en-au" w:bidi="en-au"/>
      </w:rPr>
    </w:lvl>
    <w:lvl w:ilvl="2">
      <w:start w:val="0"/>
      <w:numFmt w:val="bullet"/>
      <w:lvlText w:val="•"/>
      <w:lvlJc w:val="left"/>
      <w:pPr>
        <w:ind w:left="2324" w:hanging="360"/>
      </w:pPr>
      <w:rPr>
        <w:rFonts w:hint="default"/>
        <w:lang w:val="en-au" w:eastAsia="en-au" w:bidi="en-au"/>
      </w:rPr>
    </w:lvl>
    <w:lvl w:ilvl="3">
      <w:start w:val="0"/>
      <w:numFmt w:val="bullet"/>
      <w:lvlText w:val="•"/>
      <w:lvlJc w:val="left"/>
      <w:pPr>
        <w:ind w:left="3026" w:hanging="360"/>
      </w:pPr>
      <w:rPr>
        <w:rFonts w:hint="default"/>
        <w:lang w:val="en-au" w:eastAsia="en-au" w:bidi="en-au"/>
      </w:rPr>
    </w:lvl>
    <w:lvl w:ilvl="4">
      <w:start w:val="0"/>
      <w:numFmt w:val="bullet"/>
      <w:lvlText w:val="•"/>
      <w:lvlJc w:val="left"/>
      <w:pPr>
        <w:ind w:left="3729" w:hanging="360"/>
      </w:pPr>
      <w:rPr>
        <w:rFonts w:hint="default"/>
        <w:lang w:val="en-au" w:eastAsia="en-au" w:bidi="en-au"/>
      </w:rPr>
    </w:lvl>
    <w:lvl w:ilvl="5">
      <w:start w:val="0"/>
      <w:numFmt w:val="bullet"/>
      <w:lvlText w:val="•"/>
      <w:lvlJc w:val="left"/>
      <w:pPr>
        <w:ind w:left="4431" w:hanging="360"/>
      </w:pPr>
      <w:rPr>
        <w:rFonts w:hint="default"/>
        <w:lang w:val="en-au" w:eastAsia="en-au" w:bidi="en-au"/>
      </w:rPr>
    </w:lvl>
    <w:lvl w:ilvl="6">
      <w:start w:val="0"/>
      <w:numFmt w:val="bullet"/>
      <w:lvlText w:val="•"/>
      <w:lvlJc w:val="left"/>
      <w:pPr>
        <w:ind w:left="5133" w:hanging="360"/>
      </w:pPr>
      <w:rPr>
        <w:rFonts w:hint="default"/>
        <w:lang w:val="en-au" w:eastAsia="en-au" w:bidi="en-au"/>
      </w:rPr>
    </w:lvl>
    <w:lvl w:ilvl="7">
      <w:start w:val="0"/>
      <w:numFmt w:val="bullet"/>
      <w:lvlText w:val="•"/>
      <w:lvlJc w:val="left"/>
      <w:pPr>
        <w:ind w:left="5836" w:hanging="360"/>
      </w:pPr>
      <w:rPr>
        <w:rFonts w:hint="default"/>
        <w:lang w:val="en-au" w:eastAsia="en-au" w:bidi="en-au"/>
      </w:rPr>
    </w:lvl>
    <w:lvl w:ilvl="8">
      <w:start w:val="0"/>
      <w:numFmt w:val="bullet"/>
      <w:lvlText w:val="•"/>
      <w:lvlJc w:val="left"/>
      <w:pPr>
        <w:ind w:left="6538" w:hanging="360"/>
      </w:pPr>
      <w:rPr>
        <w:rFonts w:hint="default"/>
        <w:lang w:val="en-au" w:eastAsia="en-au" w:bidi="en-au"/>
      </w:rPr>
    </w:lvl>
  </w:abstractNum>
  <w:abstractNum w:abstractNumId="60">
    <w:multiLevelType w:val="hybridMultilevel"/>
    <w:lvl w:ilvl="0">
      <w:start w:val="0"/>
      <w:numFmt w:val="bullet"/>
      <w:lvlText w:val=""/>
      <w:lvlJc w:val="left"/>
      <w:pPr>
        <w:ind w:left="416" w:hanging="361"/>
      </w:pPr>
      <w:rPr>
        <w:rFonts w:hint="default" w:ascii="Symbol" w:hAnsi="Symbol" w:eastAsia="Symbol" w:cs="Symbol"/>
        <w:w w:val="100"/>
        <w:sz w:val="16"/>
        <w:szCs w:val="16"/>
        <w:lang w:val="en-au" w:eastAsia="en-au" w:bidi="en-au"/>
      </w:rPr>
    </w:lvl>
    <w:lvl w:ilvl="1">
      <w:start w:val="0"/>
      <w:numFmt w:val="bullet"/>
      <w:lvlText w:val="•"/>
      <w:lvlJc w:val="left"/>
      <w:pPr>
        <w:ind w:left="822" w:hanging="361"/>
      </w:pPr>
      <w:rPr>
        <w:rFonts w:hint="default"/>
        <w:lang w:val="en-au" w:eastAsia="en-au" w:bidi="en-au"/>
      </w:rPr>
    </w:lvl>
    <w:lvl w:ilvl="2">
      <w:start w:val="0"/>
      <w:numFmt w:val="bullet"/>
      <w:lvlText w:val="•"/>
      <w:lvlJc w:val="left"/>
      <w:pPr>
        <w:ind w:left="1225" w:hanging="361"/>
      </w:pPr>
      <w:rPr>
        <w:rFonts w:hint="default"/>
        <w:lang w:val="en-au" w:eastAsia="en-au" w:bidi="en-au"/>
      </w:rPr>
    </w:lvl>
    <w:lvl w:ilvl="3">
      <w:start w:val="0"/>
      <w:numFmt w:val="bullet"/>
      <w:lvlText w:val="•"/>
      <w:lvlJc w:val="left"/>
      <w:pPr>
        <w:ind w:left="1628" w:hanging="361"/>
      </w:pPr>
      <w:rPr>
        <w:rFonts w:hint="default"/>
        <w:lang w:val="en-au" w:eastAsia="en-au" w:bidi="en-au"/>
      </w:rPr>
    </w:lvl>
    <w:lvl w:ilvl="4">
      <w:start w:val="0"/>
      <w:numFmt w:val="bullet"/>
      <w:lvlText w:val="•"/>
      <w:lvlJc w:val="left"/>
      <w:pPr>
        <w:ind w:left="2031" w:hanging="361"/>
      </w:pPr>
      <w:rPr>
        <w:rFonts w:hint="default"/>
        <w:lang w:val="en-au" w:eastAsia="en-au" w:bidi="en-au"/>
      </w:rPr>
    </w:lvl>
    <w:lvl w:ilvl="5">
      <w:start w:val="0"/>
      <w:numFmt w:val="bullet"/>
      <w:lvlText w:val="•"/>
      <w:lvlJc w:val="left"/>
      <w:pPr>
        <w:ind w:left="2434" w:hanging="361"/>
      </w:pPr>
      <w:rPr>
        <w:rFonts w:hint="default"/>
        <w:lang w:val="en-au" w:eastAsia="en-au" w:bidi="en-au"/>
      </w:rPr>
    </w:lvl>
    <w:lvl w:ilvl="6">
      <w:start w:val="0"/>
      <w:numFmt w:val="bullet"/>
      <w:lvlText w:val="•"/>
      <w:lvlJc w:val="left"/>
      <w:pPr>
        <w:ind w:left="2836" w:hanging="361"/>
      </w:pPr>
      <w:rPr>
        <w:rFonts w:hint="default"/>
        <w:lang w:val="en-au" w:eastAsia="en-au" w:bidi="en-au"/>
      </w:rPr>
    </w:lvl>
    <w:lvl w:ilvl="7">
      <w:start w:val="0"/>
      <w:numFmt w:val="bullet"/>
      <w:lvlText w:val="•"/>
      <w:lvlJc w:val="left"/>
      <w:pPr>
        <w:ind w:left="3239" w:hanging="361"/>
      </w:pPr>
      <w:rPr>
        <w:rFonts w:hint="default"/>
        <w:lang w:val="en-au" w:eastAsia="en-au" w:bidi="en-au"/>
      </w:rPr>
    </w:lvl>
    <w:lvl w:ilvl="8">
      <w:start w:val="0"/>
      <w:numFmt w:val="bullet"/>
      <w:lvlText w:val="•"/>
      <w:lvlJc w:val="left"/>
      <w:pPr>
        <w:ind w:left="3642" w:hanging="361"/>
      </w:pPr>
      <w:rPr>
        <w:rFonts w:hint="default"/>
        <w:lang w:val="en-au" w:eastAsia="en-au" w:bidi="en-au"/>
      </w:rPr>
    </w:lvl>
  </w:abstractNum>
  <w:abstractNum w:abstractNumId="59">
    <w:multiLevelType w:val="hybridMultilevel"/>
    <w:lvl w:ilvl="0">
      <w:start w:val="1"/>
      <w:numFmt w:val="decimal"/>
      <w:lvlText w:val="%1."/>
      <w:lvlJc w:val="left"/>
      <w:pPr>
        <w:ind w:left="924" w:hanging="360"/>
        <w:jc w:val="left"/>
      </w:pPr>
      <w:rPr>
        <w:rFonts w:hint="default" w:ascii="Verdana" w:hAnsi="Verdana" w:eastAsia="Verdana" w:cs="Verdana"/>
        <w:w w:val="100"/>
        <w:sz w:val="16"/>
        <w:szCs w:val="16"/>
        <w:lang w:val="en-au" w:eastAsia="en-au" w:bidi="en-au"/>
      </w:rPr>
    </w:lvl>
    <w:lvl w:ilvl="1">
      <w:start w:val="0"/>
      <w:numFmt w:val="bullet"/>
      <w:lvlText w:val="•"/>
      <w:lvlJc w:val="left"/>
      <w:pPr>
        <w:ind w:left="1622" w:hanging="360"/>
      </w:pPr>
      <w:rPr>
        <w:rFonts w:hint="default"/>
        <w:lang w:val="en-au" w:eastAsia="en-au" w:bidi="en-au"/>
      </w:rPr>
    </w:lvl>
    <w:lvl w:ilvl="2">
      <w:start w:val="0"/>
      <w:numFmt w:val="bullet"/>
      <w:lvlText w:val="•"/>
      <w:lvlJc w:val="left"/>
      <w:pPr>
        <w:ind w:left="2324" w:hanging="360"/>
      </w:pPr>
      <w:rPr>
        <w:rFonts w:hint="default"/>
        <w:lang w:val="en-au" w:eastAsia="en-au" w:bidi="en-au"/>
      </w:rPr>
    </w:lvl>
    <w:lvl w:ilvl="3">
      <w:start w:val="0"/>
      <w:numFmt w:val="bullet"/>
      <w:lvlText w:val="•"/>
      <w:lvlJc w:val="left"/>
      <w:pPr>
        <w:ind w:left="3026" w:hanging="360"/>
      </w:pPr>
      <w:rPr>
        <w:rFonts w:hint="default"/>
        <w:lang w:val="en-au" w:eastAsia="en-au" w:bidi="en-au"/>
      </w:rPr>
    </w:lvl>
    <w:lvl w:ilvl="4">
      <w:start w:val="0"/>
      <w:numFmt w:val="bullet"/>
      <w:lvlText w:val="•"/>
      <w:lvlJc w:val="left"/>
      <w:pPr>
        <w:ind w:left="3729" w:hanging="360"/>
      </w:pPr>
      <w:rPr>
        <w:rFonts w:hint="default"/>
        <w:lang w:val="en-au" w:eastAsia="en-au" w:bidi="en-au"/>
      </w:rPr>
    </w:lvl>
    <w:lvl w:ilvl="5">
      <w:start w:val="0"/>
      <w:numFmt w:val="bullet"/>
      <w:lvlText w:val="•"/>
      <w:lvlJc w:val="left"/>
      <w:pPr>
        <w:ind w:left="4431" w:hanging="360"/>
      </w:pPr>
      <w:rPr>
        <w:rFonts w:hint="default"/>
        <w:lang w:val="en-au" w:eastAsia="en-au" w:bidi="en-au"/>
      </w:rPr>
    </w:lvl>
    <w:lvl w:ilvl="6">
      <w:start w:val="0"/>
      <w:numFmt w:val="bullet"/>
      <w:lvlText w:val="•"/>
      <w:lvlJc w:val="left"/>
      <w:pPr>
        <w:ind w:left="5133" w:hanging="360"/>
      </w:pPr>
      <w:rPr>
        <w:rFonts w:hint="default"/>
        <w:lang w:val="en-au" w:eastAsia="en-au" w:bidi="en-au"/>
      </w:rPr>
    </w:lvl>
    <w:lvl w:ilvl="7">
      <w:start w:val="0"/>
      <w:numFmt w:val="bullet"/>
      <w:lvlText w:val="•"/>
      <w:lvlJc w:val="left"/>
      <w:pPr>
        <w:ind w:left="5836" w:hanging="360"/>
      </w:pPr>
      <w:rPr>
        <w:rFonts w:hint="default"/>
        <w:lang w:val="en-au" w:eastAsia="en-au" w:bidi="en-au"/>
      </w:rPr>
    </w:lvl>
    <w:lvl w:ilvl="8">
      <w:start w:val="0"/>
      <w:numFmt w:val="bullet"/>
      <w:lvlText w:val="•"/>
      <w:lvlJc w:val="left"/>
      <w:pPr>
        <w:ind w:left="6538" w:hanging="360"/>
      </w:pPr>
      <w:rPr>
        <w:rFonts w:hint="default"/>
        <w:lang w:val="en-au" w:eastAsia="en-au" w:bidi="en-au"/>
      </w:rPr>
    </w:lvl>
  </w:abstractNum>
  <w:abstractNum w:abstractNumId="58">
    <w:multiLevelType w:val="hybridMultilevel"/>
    <w:lvl w:ilvl="0">
      <w:start w:val="0"/>
      <w:numFmt w:val="bullet"/>
      <w:lvlText w:val="o"/>
      <w:lvlJc w:val="left"/>
      <w:pPr>
        <w:ind w:left="680" w:hanging="360"/>
      </w:pPr>
      <w:rPr>
        <w:rFonts w:hint="default" w:ascii="Courier New" w:hAnsi="Courier New" w:eastAsia="Courier New" w:cs="Courier New"/>
        <w:spacing w:val="-3"/>
        <w:w w:val="100"/>
        <w:sz w:val="18"/>
        <w:szCs w:val="18"/>
        <w:lang w:val="en-au" w:eastAsia="en-au" w:bidi="en-au"/>
      </w:rPr>
    </w:lvl>
    <w:lvl w:ilvl="1">
      <w:start w:val="0"/>
      <w:numFmt w:val="bullet"/>
      <w:lvlText w:val="•"/>
      <w:lvlJc w:val="left"/>
      <w:pPr>
        <w:ind w:left="1556" w:hanging="360"/>
      </w:pPr>
      <w:rPr>
        <w:rFonts w:hint="default"/>
        <w:lang w:val="en-au" w:eastAsia="en-au" w:bidi="en-au"/>
      </w:rPr>
    </w:lvl>
    <w:lvl w:ilvl="2">
      <w:start w:val="0"/>
      <w:numFmt w:val="bullet"/>
      <w:lvlText w:val="•"/>
      <w:lvlJc w:val="left"/>
      <w:pPr>
        <w:ind w:left="2433" w:hanging="360"/>
      </w:pPr>
      <w:rPr>
        <w:rFonts w:hint="default"/>
        <w:lang w:val="en-au" w:eastAsia="en-au" w:bidi="en-au"/>
      </w:rPr>
    </w:lvl>
    <w:lvl w:ilvl="3">
      <w:start w:val="0"/>
      <w:numFmt w:val="bullet"/>
      <w:lvlText w:val="•"/>
      <w:lvlJc w:val="left"/>
      <w:pPr>
        <w:ind w:left="3309" w:hanging="360"/>
      </w:pPr>
      <w:rPr>
        <w:rFonts w:hint="default"/>
        <w:lang w:val="en-au" w:eastAsia="en-au" w:bidi="en-au"/>
      </w:rPr>
    </w:lvl>
    <w:lvl w:ilvl="4">
      <w:start w:val="0"/>
      <w:numFmt w:val="bullet"/>
      <w:lvlText w:val="•"/>
      <w:lvlJc w:val="left"/>
      <w:pPr>
        <w:ind w:left="4186" w:hanging="360"/>
      </w:pPr>
      <w:rPr>
        <w:rFonts w:hint="default"/>
        <w:lang w:val="en-au" w:eastAsia="en-au" w:bidi="en-au"/>
      </w:rPr>
    </w:lvl>
    <w:lvl w:ilvl="5">
      <w:start w:val="0"/>
      <w:numFmt w:val="bullet"/>
      <w:lvlText w:val="•"/>
      <w:lvlJc w:val="left"/>
      <w:pPr>
        <w:ind w:left="5063" w:hanging="360"/>
      </w:pPr>
      <w:rPr>
        <w:rFonts w:hint="default"/>
        <w:lang w:val="en-au" w:eastAsia="en-au" w:bidi="en-au"/>
      </w:rPr>
    </w:lvl>
    <w:lvl w:ilvl="6">
      <w:start w:val="0"/>
      <w:numFmt w:val="bullet"/>
      <w:lvlText w:val="•"/>
      <w:lvlJc w:val="left"/>
      <w:pPr>
        <w:ind w:left="5939" w:hanging="360"/>
      </w:pPr>
      <w:rPr>
        <w:rFonts w:hint="default"/>
        <w:lang w:val="en-au" w:eastAsia="en-au" w:bidi="en-au"/>
      </w:rPr>
    </w:lvl>
    <w:lvl w:ilvl="7">
      <w:start w:val="0"/>
      <w:numFmt w:val="bullet"/>
      <w:lvlText w:val="•"/>
      <w:lvlJc w:val="left"/>
      <w:pPr>
        <w:ind w:left="6816" w:hanging="360"/>
      </w:pPr>
      <w:rPr>
        <w:rFonts w:hint="default"/>
        <w:lang w:val="en-au" w:eastAsia="en-au" w:bidi="en-au"/>
      </w:rPr>
    </w:lvl>
    <w:lvl w:ilvl="8">
      <w:start w:val="0"/>
      <w:numFmt w:val="bullet"/>
      <w:lvlText w:val="•"/>
      <w:lvlJc w:val="left"/>
      <w:pPr>
        <w:ind w:left="7693" w:hanging="360"/>
      </w:pPr>
      <w:rPr>
        <w:rFonts w:hint="default"/>
        <w:lang w:val="en-au" w:eastAsia="en-au" w:bidi="en-au"/>
      </w:rPr>
    </w:lvl>
  </w:abstractNum>
  <w:abstractNum w:abstractNumId="57">
    <w:multiLevelType w:val="hybridMultilevel"/>
    <w:lvl w:ilvl="0">
      <w:start w:val="0"/>
      <w:numFmt w:val="bullet"/>
      <w:lvlText w:val="o"/>
      <w:lvlJc w:val="left"/>
      <w:pPr>
        <w:ind w:left="1040" w:hanging="360"/>
      </w:pPr>
      <w:rPr>
        <w:rFonts w:hint="default"/>
        <w:spacing w:val="-2"/>
        <w:w w:val="100"/>
        <w:lang w:val="en-au" w:eastAsia="en-au" w:bidi="en-au"/>
      </w:rPr>
    </w:lvl>
    <w:lvl w:ilvl="1">
      <w:start w:val="0"/>
      <w:numFmt w:val="bullet"/>
      <w:lvlText w:val="•"/>
      <w:lvlJc w:val="left"/>
      <w:pPr>
        <w:ind w:left="1880" w:hanging="360"/>
      </w:pPr>
      <w:rPr>
        <w:rFonts w:hint="default"/>
        <w:lang w:val="en-au" w:eastAsia="en-au" w:bidi="en-au"/>
      </w:rPr>
    </w:lvl>
    <w:lvl w:ilvl="2">
      <w:start w:val="0"/>
      <w:numFmt w:val="bullet"/>
      <w:lvlText w:val="•"/>
      <w:lvlJc w:val="left"/>
      <w:pPr>
        <w:ind w:left="2721" w:hanging="360"/>
      </w:pPr>
      <w:rPr>
        <w:rFonts w:hint="default"/>
        <w:lang w:val="en-au" w:eastAsia="en-au" w:bidi="en-au"/>
      </w:rPr>
    </w:lvl>
    <w:lvl w:ilvl="3">
      <w:start w:val="0"/>
      <w:numFmt w:val="bullet"/>
      <w:lvlText w:val="•"/>
      <w:lvlJc w:val="left"/>
      <w:pPr>
        <w:ind w:left="3561" w:hanging="360"/>
      </w:pPr>
      <w:rPr>
        <w:rFonts w:hint="default"/>
        <w:lang w:val="en-au" w:eastAsia="en-au" w:bidi="en-au"/>
      </w:rPr>
    </w:lvl>
    <w:lvl w:ilvl="4">
      <w:start w:val="0"/>
      <w:numFmt w:val="bullet"/>
      <w:lvlText w:val="•"/>
      <w:lvlJc w:val="left"/>
      <w:pPr>
        <w:ind w:left="4402" w:hanging="360"/>
      </w:pPr>
      <w:rPr>
        <w:rFonts w:hint="default"/>
        <w:lang w:val="en-au" w:eastAsia="en-au" w:bidi="en-au"/>
      </w:rPr>
    </w:lvl>
    <w:lvl w:ilvl="5">
      <w:start w:val="0"/>
      <w:numFmt w:val="bullet"/>
      <w:lvlText w:val="•"/>
      <w:lvlJc w:val="left"/>
      <w:pPr>
        <w:ind w:left="5243" w:hanging="360"/>
      </w:pPr>
      <w:rPr>
        <w:rFonts w:hint="default"/>
        <w:lang w:val="en-au" w:eastAsia="en-au" w:bidi="en-au"/>
      </w:rPr>
    </w:lvl>
    <w:lvl w:ilvl="6">
      <w:start w:val="0"/>
      <w:numFmt w:val="bullet"/>
      <w:lvlText w:val="•"/>
      <w:lvlJc w:val="left"/>
      <w:pPr>
        <w:ind w:left="6083" w:hanging="360"/>
      </w:pPr>
      <w:rPr>
        <w:rFonts w:hint="default"/>
        <w:lang w:val="en-au" w:eastAsia="en-au" w:bidi="en-au"/>
      </w:rPr>
    </w:lvl>
    <w:lvl w:ilvl="7">
      <w:start w:val="0"/>
      <w:numFmt w:val="bullet"/>
      <w:lvlText w:val="•"/>
      <w:lvlJc w:val="left"/>
      <w:pPr>
        <w:ind w:left="6924" w:hanging="360"/>
      </w:pPr>
      <w:rPr>
        <w:rFonts w:hint="default"/>
        <w:lang w:val="en-au" w:eastAsia="en-au" w:bidi="en-au"/>
      </w:rPr>
    </w:lvl>
    <w:lvl w:ilvl="8">
      <w:start w:val="0"/>
      <w:numFmt w:val="bullet"/>
      <w:lvlText w:val="•"/>
      <w:lvlJc w:val="left"/>
      <w:pPr>
        <w:ind w:left="7765" w:hanging="360"/>
      </w:pPr>
      <w:rPr>
        <w:rFonts w:hint="default"/>
        <w:lang w:val="en-au" w:eastAsia="en-au" w:bidi="en-au"/>
      </w:rPr>
    </w:lvl>
  </w:abstractNum>
  <w:abstractNum w:abstractNumId="56">
    <w:multiLevelType w:val="hybridMultilevel"/>
    <w:lvl w:ilvl="0">
      <w:start w:val="0"/>
      <w:numFmt w:val="bullet"/>
      <w:lvlText w:val=""/>
      <w:lvlJc w:val="left"/>
      <w:pPr>
        <w:ind w:left="719" w:hanging="360"/>
      </w:pPr>
      <w:rPr>
        <w:rFonts w:hint="default" w:ascii="Symbol" w:hAnsi="Symbol" w:eastAsia="Symbol" w:cs="Symbol"/>
        <w:w w:val="100"/>
        <w:sz w:val="18"/>
        <w:szCs w:val="18"/>
        <w:lang w:val="en-au" w:eastAsia="en-au" w:bidi="en-au"/>
      </w:rPr>
    </w:lvl>
    <w:lvl w:ilvl="1">
      <w:start w:val="0"/>
      <w:numFmt w:val="bullet"/>
      <w:lvlText w:val="•"/>
      <w:lvlJc w:val="left"/>
      <w:pPr>
        <w:ind w:left="1541" w:hanging="360"/>
      </w:pPr>
      <w:rPr>
        <w:rFonts w:hint="default"/>
        <w:lang w:val="en-au" w:eastAsia="en-au" w:bidi="en-au"/>
      </w:rPr>
    </w:lvl>
    <w:lvl w:ilvl="2">
      <w:start w:val="0"/>
      <w:numFmt w:val="bullet"/>
      <w:lvlText w:val="•"/>
      <w:lvlJc w:val="left"/>
      <w:pPr>
        <w:ind w:left="2362" w:hanging="360"/>
      </w:pPr>
      <w:rPr>
        <w:rFonts w:hint="default"/>
        <w:lang w:val="en-au" w:eastAsia="en-au" w:bidi="en-au"/>
      </w:rPr>
    </w:lvl>
    <w:lvl w:ilvl="3">
      <w:start w:val="0"/>
      <w:numFmt w:val="bullet"/>
      <w:lvlText w:val="•"/>
      <w:lvlJc w:val="left"/>
      <w:pPr>
        <w:ind w:left="3183" w:hanging="360"/>
      </w:pPr>
      <w:rPr>
        <w:rFonts w:hint="default"/>
        <w:lang w:val="en-au" w:eastAsia="en-au" w:bidi="en-au"/>
      </w:rPr>
    </w:lvl>
    <w:lvl w:ilvl="4">
      <w:start w:val="0"/>
      <w:numFmt w:val="bullet"/>
      <w:lvlText w:val="•"/>
      <w:lvlJc w:val="left"/>
      <w:pPr>
        <w:ind w:left="4004" w:hanging="360"/>
      </w:pPr>
      <w:rPr>
        <w:rFonts w:hint="default"/>
        <w:lang w:val="en-au" w:eastAsia="en-au" w:bidi="en-au"/>
      </w:rPr>
    </w:lvl>
    <w:lvl w:ilvl="5">
      <w:start w:val="0"/>
      <w:numFmt w:val="bullet"/>
      <w:lvlText w:val="•"/>
      <w:lvlJc w:val="left"/>
      <w:pPr>
        <w:ind w:left="4825" w:hanging="360"/>
      </w:pPr>
      <w:rPr>
        <w:rFonts w:hint="default"/>
        <w:lang w:val="en-au" w:eastAsia="en-au" w:bidi="en-au"/>
      </w:rPr>
    </w:lvl>
    <w:lvl w:ilvl="6">
      <w:start w:val="0"/>
      <w:numFmt w:val="bullet"/>
      <w:lvlText w:val="•"/>
      <w:lvlJc w:val="left"/>
      <w:pPr>
        <w:ind w:left="5647" w:hanging="360"/>
      </w:pPr>
      <w:rPr>
        <w:rFonts w:hint="default"/>
        <w:lang w:val="en-au" w:eastAsia="en-au" w:bidi="en-au"/>
      </w:rPr>
    </w:lvl>
    <w:lvl w:ilvl="7">
      <w:start w:val="0"/>
      <w:numFmt w:val="bullet"/>
      <w:lvlText w:val="•"/>
      <w:lvlJc w:val="left"/>
      <w:pPr>
        <w:ind w:left="6468" w:hanging="360"/>
      </w:pPr>
      <w:rPr>
        <w:rFonts w:hint="default"/>
        <w:lang w:val="en-au" w:eastAsia="en-au" w:bidi="en-au"/>
      </w:rPr>
    </w:lvl>
    <w:lvl w:ilvl="8">
      <w:start w:val="0"/>
      <w:numFmt w:val="bullet"/>
      <w:lvlText w:val="•"/>
      <w:lvlJc w:val="left"/>
      <w:pPr>
        <w:ind w:left="7289" w:hanging="360"/>
      </w:pPr>
      <w:rPr>
        <w:rFonts w:hint="default"/>
        <w:lang w:val="en-au" w:eastAsia="en-au" w:bidi="en-au"/>
      </w:rPr>
    </w:lvl>
  </w:abstractNum>
  <w:abstractNum w:abstractNumId="55">
    <w:multiLevelType w:val="hybridMultilevel"/>
    <w:lvl w:ilvl="0">
      <w:start w:val="1"/>
      <w:numFmt w:val="decimal"/>
      <w:lvlText w:val="%1."/>
      <w:lvlJc w:val="left"/>
      <w:pPr>
        <w:ind w:left="738" w:hanging="360"/>
        <w:jc w:val="left"/>
      </w:pPr>
      <w:rPr>
        <w:rFonts w:hint="default" w:ascii="Verdana" w:hAnsi="Verdana" w:eastAsia="Verdana" w:cs="Verdana"/>
        <w:spacing w:val="-11"/>
        <w:w w:val="100"/>
        <w:sz w:val="18"/>
        <w:szCs w:val="18"/>
        <w:lang w:val="en-au" w:eastAsia="en-au" w:bidi="en-au"/>
      </w:rPr>
    </w:lvl>
    <w:lvl w:ilvl="1">
      <w:start w:val="1"/>
      <w:numFmt w:val="decimal"/>
      <w:lvlText w:val="%2."/>
      <w:lvlJc w:val="left"/>
      <w:pPr>
        <w:ind w:left="1040" w:hanging="360"/>
        <w:jc w:val="left"/>
      </w:pPr>
      <w:rPr>
        <w:rFonts w:hint="default" w:ascii="Verdana" w:hAnsi="Verdana" w:eastAsia="Verdana" w:cs="Verdana"/>
        <w:w w:val="99"/>
        <w:sz w:val="20"/>
        <w:szCs w:val="20"/>
        <w:lang w:val="en-au" w:eastAsia="en-au" w:bidi="en-au"/>
      </w:rPr>
    </w:lvl>
    <w:lvl w:ilvl="2">
      <w:start w:val="25"/>
      <w:numFmt w:val="decimal"/>
      <w:lvlText w:val="%3."/>
      <w:lvlJc w:val="left"/>
      <w:pPr>
        <w:ind w:left="3123" w:hanging="360"/>
        <w:jc w:val="left"/>
      </w:pPr>
      <w:rPr>
        <w:rFonts w:hint="default" w:ascii="Verdana" w:hAnsi="Verdana" w:eastAsia="Verdana" w:cs="Verdana"/>
        <w:w w:val="100"/>
        <w:sz w:val="16"/>
        <w:szCs w:val="16"/>
        <w:lang w:val="en-au" w:eastAsia="en-au" w:bidi="en-au"/>
      </w:rPr>
    </w:lvl>
    <w:lvl w:ilvl="3">
      <w:start w:val="0"/>
      <w:numFmt w:val="bullet"/>
      <w:lvlText w:val="•"/>
      <w:lvlJc w:val="left"/>
      <w:pPr>
        <w:ind w:left="3910" w:hanging="360"/>
      </w:pPr>
      <w:rPr>
        <w:rFonts w:hint="default"/>
        <w:lang w:val="en-au" w:eastAsia="en-au" w:bidi="en-au"/>
      </w:rPr>
    </w:lvl>
    <w:lvl w:ilvl="4">
      <w:start w:val="0"/>
      <w:numFmt w:val="bullet"/>
      <w:lvlText w:val="•"/>
      <w:lvlJc w:val="left"/>
      <w:pPr>
        <w:ind w:left="4701" w:hanging="360"/>
      </w:pPr>
      <w:rPr>
        <w:rFonts w:hint="default"/>
        <w:lang w:val="en-au" w:eastAsia="en-au" w:bidi="en-au"/>
      </w:rPr>
    </w:lvl>
    <w:lvl w:ilvl="5">
      <w:start w:val="0"/>
      <w:numFmt w:val="bullet"/>
      <w:lvlText w:val="•"/>
      <w:lvlJc w:val="left"/>
      <w:pPr>
        <w:ind w:left="5492" w:hanging="360"/>
      </w:pPr>
      <w:rPr>
        <w:rFonts w:hint="default"/>
        <w:lang w:val="en-au" w:eastAsia="en-au" w:bidi="en-au"/>
      </w:rPr>
    </w:lvl>
    <w:lvl w:ilvl="6">
      <w:start w:val="0"/>
      <w:numFmt w:val="bullet"/>
      <w:lvlText w:val="•"/>
      <w:lvlJc w:val="left"/>
      <w:pPr>
        <w:ind w:left="6283" w:hanging="360"/>
      </w:pPr>
      <w:rPr>
        <w:rFonts w:hint="default"/>
        <w:lang w:val="en-au" w:eastAsia="en-au" w:bidi="en-au"/>
      </w:rPr>
    </w:lvl>
    <w:lvl w:ilvl="7">
      <w:start w:val="0"/>
      <w:numFmt w:val="bullet"/>
      <w:lvlText w:val="•"/>
      <w:lvlJc w:val="left"/>
      <w:pPr>
        <w:ind w:left="7074" w:hanging="360"/>
      </w:pPr>
      <w:rPr>
        <w:rFonts w:hint="default"/>
        <w:lang w:val="en-au" w:eastAsia="en-au" w:bidi="en-au"/>
      </w:rPr>
    </w:lvl>
    <w:lvl w:ilvl="8">
      <w:start w:val="0"/>
      <w:numFmt w:val="bullet"/>
      <w:lvlText w:val="•"/>
      <w:lvlJc w:val="left"/>
      <w:pPr>
        <w:ind w:left="7864" w:hanging="360"/>
      </w:pPr>
      <w:rPr>
        <w:rFonts w:hint="default"/>
        <w:lang w:val="en-au" w:eastAsia="en-au" w:bidi="en-au"/>
      </w:rPr>
    </w:lvl>
  </w:abstractNum>
  <w:abstractNum w:abstractNumId="54">
    <w:multiLevelType w:val="hybridMultilevel"/>
    <w:lvl w:ilvl="0">
      <w:start w:val="4"/>
      <w:numFmt w:val="decimal"/>
      <w:lvlText w:val="%1"/>
      <w:lvlJc w:val="left"/>
      <w:pPr>
        <w:ind w:left="680" w:hanging="360"/>
        <w:jc w:val="left"/>
      </w:pPr>
      <w:rPr>
        <w:rFonts w:hint="default"/>
        <w:lang w:val="en-au" w:eastAsia="en-au" w:bidi="en-au"/>
      </w:rPr>
    </w:lvl>
    <w:lvl w:ilvl="1">
      <w:start w:val="1"/>
      <w:numFmt w:val="decimal"/>
      <w:lvlText w:val="%1.%2"/>
      <w:lvlJc w:val="left"/>
      <w:pPr>
        <w:ind w:left="680" w:hanging="360"/>
        <w:jc w:val="left"/>
      </w:pPr>
      <w:rPr>
        <w:rFonts w:hint="default" w:ascii="Verdana" w:hAnsi="Verdana" w:eastAsia="Verdana" w:cs="Verdana"/>
        <w:spacing w:val="-1"/>
        <w:w w:val="100"/>
        <w:sz w:val="18"/>
        <w:szCs w:val="18"/>
        <w:lang w:val="en-au" w:eastAsia="en-au" w:bidi="en-au"/>
      </w:rPr>
    </w:lvl>
    <w:lvl w:ilvl="2">
      <w:start w:val="0"/>
      <w:numFmt w:val="bullet"/>
      <w:lvlText w:val="•"/>
      <w:lvlJc w:val="left"/>
      <w:pPr>
        <w:ind w:left="2433" w:hanging="360"/>
      </w:pPr>
      <w:rPr>
        <w:rFonts w:hint="default"/>
        <w:lang w:val="en-au" w:eastAsia="en-au" w:bidi="en-au"/>
      </w:rPr>
    </w:lvl>
    <w:lvl w:ilvl="3">
      <w:start w:val="0"/>
      <w:numFmt w:val="bullet"/>
      <w:lvlText w:val="•"/>
      <w:lvlJc w:val="left"/>
      <w:pPr>
        <w:ind w:left="3309" w:hanging="360"/>
      </w:pPr>
      <w:rPr>
        <w:rFonts w:hint="default"/>
        <w:lang w:val="en-au" w:eastAsia="en-au" w:bidi="en-au"/>
      </w:rPr>
    </w:lvl>
    <w:lvl w:ilvl="4">
      <w:start w:val="0"/>
      <w:numFmt w:val="bullet"/>
      <w:lvlText w:val="•"/>
      <w:lvlJc w:val="left"/>
      <w:pPr>
        <w:ind w:left="4186" w:hanging="360"/>
      </w:pPr>
      <w:rPr>
        <w:rFonts w:hint="default"/>
        <w:lang w:val="en-au" w:eastAsia="en-au" w:bidi="en-au"/>
      </w:rPr>
    </w:lvl>
    <w:lvl w:ilvl="5">
      <w:start w:val="0"/>
      <w:numFmt w:val="bullet"/>
      <w:lvlText w:val="•"/>
      <w:lvlJc w:val="left"/>
      <w:pPr>
        <w:ind w:left="5063" w:hanging="360"/>
      </w:pPr>
      <w:rPr>
        <w:rFonts w:hint="default"/>
        <w:lang w:val="en-au" w:eastAsia="en-au" w:bidi="en-au"/>
      </w:rPr>
    </w:lvl>
    <w:lvl w:ilvl="6">
      <w:start w:val="0"/>
      <w:numFmt w:val="bullet"/>
      <w:lvlText w:val="•"/>
      <w:lvlJc w:val="left"/>
      <w:pPr>
        <w:ind w:left="5939" w:hanging="360"/>
      </w:pPr>
      <w:rPr>
        <w:rFonts w:hint="default"/>
        <w:lang w:val="en-au" w:eastAsia="en-au" w:bidi="en-au"/>
      </w:rPr>
    </w:lvl>
    <w:lvl w:ilvl="7">
      <w:start w:val="0"/>
      <w:numFmt w:val="bullet"/>
      <w:lvlText w:val="•"/>
      <w:lvlJc w:val="left"/>
      <w:pPr>
        <w:ind w:left="6816" w:hanging="360"/>
      </w:pPr>
      <w:rPr>
        <w:rFonts w:hint="default"/>
        <w:lang w:val="en-au" w:eastAsia="en-au" w:bidi="en-au"/>
      </w:rPr>
    </w:lvl>
    <w:lvl w:ilvl="8">
      <w:start w:val="0"/>
      <w:numFmt w:val="bullet"/>
      <w:lvlText w:val="•"/>
      <w:lvlJc w:val="left"/>
      <w:pPr>
        <w:ind w:left="7693" w:hanging="360"/>
      </w:pPr>
      <w:rPr>
        <w:rFonts w:hint="default"/>
        <w:lang w:val="en-au" w:eastAsia="en-au" w:bidi="en-au"/>
      </w:rPr>
    </w:lvl>
  </w:abstractNum>
  <w:abstractNum w:abstractNumId="53">
    <w:multiLevelType w:val="hybridMultilevel"/>
    <w:lvl w:ilvl="0">
      <w:start w:val="3"/>
      <w:numFmt w:val="decimal"/>
      <w:lvlText w:val="%1"/>
      <w:lvlJc w:val="left"/>
      <w:pPr>
        <w:ind w:left="680" w:hanging="360"/>
        <w:jc w:val="left"/>
      </w:pPr>
      <w:rPr>
        <w:rFonts w:hint="default"/>
        <w:lang w:val="en-au" w:eastAsia="en-au" w:bidi="en-au"/>
      </w:rPr>
    </w:lvl>
    <w:lvl w:ilvl="1">
      <w:start w:val="1"/>
      <w:numFmt w:val="decimal"/>
      <w:lvlText w:val="%1.%2"/>
      <w:lvlJc w:val="left"/>
      <w:pPr>
        <w:ind w:left="680" w:hanging="360"/>
        <w:jc w:val="left"/>
      </w:pPr>
      <w:rPr>
        <w:rFonts w:hint="default" w:ascii="Verdana" w:hAnsi="Verdana" w:eastAsia="Verdana" w:cs="Verdana"/>
        <w:spacing w:val="-1"/>
        <w:w w:val="100"/>
        <w:sz w:val="18"/>
        <w:szCs w:val="18"/>
        <w:lang w:val="en-au" w:eastAsia="en-au" w:bidi="en-au"/>
      </w:rPr>
    </w:lvl>
    <w:lvl w:ilvl="2">
      <w:start w:val="1"/>
      <w:numFmt w:val="decimal"/>
      <w:lvlText w:val="%1.%2.%3"/>
      <w:lvlJc w:val="left"/>
      <w:pPr>
        <w:ind w:left="1314" w:hanging="569"/>
        <w:jc w:val="left"/>
      </w:pPr>
      <w:rPr>
        <w:rFonts w:hint="default" w:ascii="Verdana" w:hAnsi="Verdana" w:eastAsia="Verdana" w:cs="Verdana"/>
        <w:spacing w:val="-1"/>
        <w:w w:val="100"/>
        <w:sz w:val="18"/>
        <w:szCs w:val="18"/>
        <w:lang w:val="en-au" w:eastAsia="en-au" w:bidi="en-au"/>
      </w:rPr>
    </w:lvl>
    <w:lvl w:ilvl="3">
      <w:start w:val="0"/>
      <w:numFmt w:val="bullet"/>
      <w:lvlText w:val="•"/>
      <w:lvlJc w:val="left"/>
      <w:pPr>
        <w:ind w:left="3125" w:hanging="569"/>
      </w:pPr>
      <w:rPr>
        <w:rFonts w:hint="default"/>
        <w:lang w:val="en-au" w:eastAsia="en-au" w:bidi="en-au"/>
      </w:rPr>
    </w:lvl>
    <w:lvl w:ilvl="4">
      <w:start w:val="0"/>
      <w:numFmt w:val="bullet"/>
      <w:lvlText w:val="•"/>
      <w:lvlJc w:val="left"/>
      <w:pPr>
        <w:ind w:left="4028" w:hanging="569"/>
      </w:pPr>
      <w:rPr>
        <w:rFonts w:hint="default"/>
        <w:lang w:val="en-au" w:eastAsia="en-au" w:bidi="en-au"/>
      </w:rPr>
    </w:lvl>
    <w:lvl w:ilvl="5">
      <w:start w:val="0"/>
      <w:numFmt w:val="bullet"/>
      <w:lvlText w:val="•"/>
      <w:lvlJc w:val="left"/>
      <w:pPr>
        <w:ind w:left="4931" w:hanging="569"/>
      </w:pPr>
      <w:rPr>
        <w:rFonts w:hint="default"/>
        <w:lang w:val="en-au" w:eastAsia="en-au" w:bidi="en-au"/>
      </w:rPr>
    </w:lvl>
    <w:lvl w:ilvl="6">
      <w:start w:val="0"/>
      <w:numFmt w:val="bullet"/>
      <w:lvlText w:val="•"/>
      <w:lvlJc w:val="left"/>
      <w:pPr>
        <w:ind w:left="5834" w:hanging="569"/>
      </w:pPr>
      <w:rPr>
        <w:rFonts w:hint="default"/>
        <w:lang w:val="en-au" w:eastAsia="en-au" w:bidi="en-au"/>
      </w:rPr>
    </w:lvl>
    <w:lvl w:ilvl="7">
      <w:start w:val="0"/>
      <w:numFmt w:val="bullet"/>
      <w:lvlText w:val="•"/>
      <w:lvlJc w:val="left"/>
      <w:pPr>
        <w:ind w:left="6737" w:hanging="569"/>
      </w:pPr>
      <w:rPr>
        <w:rFonts w:hint="default"/>
        <w:lang w:val="en-au" w:eastAsia="en-au" w:bidi="en-au"/>
      </w:rPr>
    </w:lvl>
    <w:lvl w:ilvl="8">
      <w:start w:val="0"/>
      <w:numFmt w:val="bullet"/>
      <w:lvlText w:val="•"/>
      <w:lvlJc w:val="left"/>
      <w:pPr>
        <w:ind w:left="7640" w:hanging="569"/>
      </w:pPr>
      <w:rPr>
        <w:rFonts w:hint="default"/>
        <w:lang w:val="en-au" w:eastAsia="en-au" w:bidi="en-au"/>
      </w:rPr>
    </w:lvl>
  </w:abstractNum>
  <w:abstractNum w:abstractNumId="52">
    <w:multiLevelType w:val="hybridMultilevel"/>
    <w:lvl w:ilvl="0">
      <w:start w:val="2"/>
      <w:numFmt w:val="decimal"/>
      <w:lvlText w:val="%1"/>
      <w:lvlJc w:val="left"/>
      <w:pPr>
        <w:ind w:left="680" w:hanging="360"/>
        <w:jc w:val="left"/>
      </w:pPr>
      <w:rPr>
        <w:rFonts w:hint="default"/>
        <w:lang w:val="en-au" w:eastAsia="en-au" w:bidi="en-au"/>
      </w:rPr>
    </w:lvl>
    <w:lvl w:ilvl="1">
      <w:start w:val="1"/>
      <w:numFmt w:val="decimal"/>
      <w:lvlText w:val="%1.%2"/>
      <w:lvlJc w:val="left"/>
      <w:pPr>
        <w:ind w:left="680" w:hanging="360"/>
        <w:jc w:val="left"/>
      </w:pPr>
      <w:rPr>
        <w:rFonts w:hint="default" w:ascii="Verdana" w:hAnsi="Verdana" w:eastAsia="Verdana" w:cs="Verdana"/>
        <w:spacing w:val="-1"/>
        <w:w w:val="100"/>
        <w:sz w:val="18"/>
        <w:szCs w:val="18"/>
        <w:lang w:val="en-au" w:eastAsia="en-au" w:bidi="en-au"/>
      </w:rPr>
    </w:lvl>
    <w:lvl w:ilvl="2">
      <w:start w:val="0"/>
      <w:numFmt w:val="bullet"/>
      <w:lvlText w:val="•"/>
      <w:lvlJc w:val="left"/>
      <w:pPr>
        <w:ind w:left="2433" w:hanging="360"/>
      </w:pPr>
      <w:rPr>
        <w:rFonts w:hint="default"/>
        <w:lang w:val="en-au" w:eastAsia="en-au" w:bidi="en-au"/>
      </w:rPr>
    </w:lvl>
    <w:lvl w:ilvl="3">
      <w:start w:val="0"/>
      <w:numFmt w:val="bullet"/>
      <w:lvlText w:val="•"/>
      <w:lvlJc w:val="left"/>
      <w:pPr>
        <w:ind w:left="3309" w:hanging="360"/>
      </w:pPr>
      <w:rPr>
        <w:rFonts w:hint="default"/>
        <w:lang w:val="en-au" w:eastAsia="en-au" w:bidi="en-au"/>
      </w:rPr>
    </w:lvl>
    <w:lvl w:ilvl="4">
      <w:start w:val="0"/>
      <w:numFmt w:val="bullet"/>
      <w:lvlText w:val="•"/>
      <w:lvlJc w:val="left"/>
      <w:pPr>
        <w:ind w:left="4186" w:hanging="360"/>
      </w:pPr>
      <w:rPr>
        <w:rFonts w:hint="default"/>
        <w:lang w:val="en-au" w:eastAsia="en-au" w:bidi="en-au"/>
      </w:rPr>
    </w:lvl>
    <w:lvl w:ilvl="5">
      <w:start w:val="0"/>
      <w:numFmt w:val="bullet"/>
      <w:lvlText w:val="•"/>
      <w:lvlJc w:val="left"/>
      <w:pPr>
        <w:ind w:left="5063" w:hanging="360"/>
      </w:pPr>
      <w:rPr>
        <w:rFonts w:hint="default"/>
        <w:lang w:val="en-au" w:eastAsia="en-au" w:bidi="en-au"/>
      </w:rPr>
    </w:lvl>
    <w:lvl w:ilvl="6">
      <w:start w:val="0"/>
      <w:numFmt w:val="bullet"/>
      <w:lvlText w:val="•"/>
      <w:lvlJc w:val="left"/>
      <w:pPr>
        <w:ind w:left="5939" w:hanging="360"/>
      </w:pPr>
      <w:rPr>
        <w:rFonts w:hint="default"/>
        <w:lang w:val="en-au" w:eastAsia="en-au" w:bidi="en-au"/>
      </w:rPr>
    </w:lvl>
    <w:lvl w:ilvl="7">
      <w:start w:val="0"/>
      <w:numFmt w:val="bullet"/>
      <w:lvlText w:val="•"/>
      <w:lvlJc w:val="left"/>
      <w:pPr>
        <w:ind w:left="6816" w:hanging="360"/>
      </w:pPr>
      <w:rPr>
        <w:rFonts w:hint="default"/>
        <w:lang w:val="en-au" w:eastAsia="en-au" w:bidi="en-au"/>
      </w:rPr>
    </w:lvl>
    <w:lvl w:ilvl="8">
      <w:start w:val="0"/>
      <w:numFmt w:val="bullet"/>
      <w:lvlText w:val="•"/>
      <w:lvlJc w:val="left"/>
      <w:pPr>
        <w:ind w:left="7693" w:hanging="360"/>
      </w:pPr>
      <w:rPr>
        <w:rFonts w:hint="default"/>
        <w:lang w:val="en-au" w:eastAsia="en-au" w:bidi="en-au"/>
      </w:rPr>
    </w:lvl>
  </w:abstractNum>
  <w:abstractNum w:abstractNumId="51">
    <w:multiLevelType w:val="hybridMultilevel"/>
    <w:lvl w:ilvl="0">
      <w:start w:val="1"/>
      <w:numFmt w:val="decimal"/>
      <w:lvlText w:val="%1"/>
      <w:lvlJc w:val="left"/>
      <w:pPr>
        <w:ind w:left="680" w:hanging="360"/>
        <w:jc w:val="left"/>
      </w:pPr>
      <w:rPr>
        <w:rFonts w:hint="default"/>
        <w:lang w:val="en-au" w:eastAsia="en-au" w:bidi="en-au"/>
      </w:rPr>
    </w:lvl>
    <w:lvl w:ilvl="1">
      <w:start w:val="1"/>
      <w:numFmt w:val="decimal"/>
      <w:lvlText w:val="%1.%2"/>
      <w:lvlJc w:val="left"/>
      <w:pPr>
        <w:ind w:left="680" w:hanging="360"/>
        <w:jc w:val="left"/>
      </w:pPr>
      <w:rPr>
        <w:rFonts w:hint="default" w:ascii="Verdana" w:hAnsi="Verdana" w:eastAsia="Verdana" w:cs="Verdana"/>
        <w:spacing w:val="-1"/>
        <w:w w:val="100"/>
        <w:sz w:val="18"/>
        <w:szCs w:val="18"/>
        <w:lang w:val="en-au" w:eastAsia="en-au" w:bidi="en-au"/>
      </w:rPr>
    </w:lvl>
    <w:lvl w:ilvl="2">
      <w:start w:val="0"/>
      <w:numFmt w:val="bullet"/>
      <w:lvlText w:val="•"/>
      <w:lvlJc w:val="left"/>
      <w:pPr>
        <w:ind w:left="2433" w:hanging="360"/>
      </w:pPr>
      <w:rPr>
        <w:rFonts w:hint="default"/>
        <w:lang w:val="en-au" w:eastAsia="en-au" w:bidi="en-au"/>
      </w:rPr>
    </w:lvl>
    <w:lvl w:ilvl="3">
      <w:start w:val="0"/>
      <w:numFmt w:val="bullet"/>
      <w:lvlText w:val="•"/>
      <w:lvlJc w:val="left"/>
      <w:pPr>
        <w:ind w:left="3309" w:hanging="360"/>
      </w:pPr>
      <w:rPr>
        <w:rFonts w:hint="default"/>
        <w:lang w:val="en-au" w:eastAsia="en-au" w:bidi="en-au"/>
      </w:rPr>
    </w:lvl>
    <w:lvl w:ilvl="4">
      <w:start w:val="0"/>
      <w:numFmt w:val="bullet"/>
      <w:lvlText w:val="•"/>
      <w:lvlJc w:val="left"/>
      <w:pPr>
        <w:ind w:left="4186" w:hanging="360"/>
      </w:pPr>
      <w:rPr>
        <w:rFonts w:hint="default"/>
        <w:lang w:val="en-au" w:eastAsia="en-au" w:bidi="en-au"/>
      </w:rPr>
    </w:lvl>
    <w:lvl w:ilvl="5">
      <w:start w:val="0"/>
      <w:numFmt w:val="bullet"/>
      <w:lvlText w:val="•"/>
      <w:lvlJc w:val="left"/>
      <w:pPr>
        <w:ind w:left="5063" w:hanging="360"/>
      </w:pPr>
      <w:rPr>
        <w:rFonts w:hint="default"/>
        <w:lang w:val="en-au" w:eastAsia="en-au" w:bidi="en-au"/>
      </w:rPr>
    </w:lvl>
    <w:lvl w:ilvl="6">
      <w:start w:val="0"/>
      <w:numFmt w:val="bullet"/>
      <w:lvlText w:val="•"/>
      <w:lvlJc w:val="left"/>
      <w:pPr>
        <w:ind w:left="5939" w:hanging="360"/>
      </w:pPr>
      <w:rPr>
        <w:rFonts w:hint="default"/>
        <w:lang w:val="en-au" w:eastAsia="en-au" w:bidi="en-au"/>
      </w:rPr>
    </w:lvl>
    <w:lvl w:ilvl="7">
      <w:start w:val="0"/>
      <w:numFmt w:val="bullet"/>
      <w:lvlText w:val="•"/>
      <w:lvlJc w:val="left"/>
      <w:pPr>
        <w:ind w:left="6816" w:hanging="360"/>
      </w:pPr>
      <w:rPr>
        <w:rFonts w:hint="default"/>
        <w:lang w:val="en-au" w:eastAsia="en-au" w:bidi="en-au"/>
      </w:rPr>
    </w:lvl>
    <w:lvl w:ilvl="8">
      <w:start w:val="0"/>
      <w:numFmt w:val="bullet"/>
      <w:lvlText w:val="•"/>
      <w:lvlJc w:val="left"/>
      <w:pPr>
        <w:ind w:left="7693" w:hanging="360"/>
      </w:pPr>
      <w:rPr>
        <w:rFonts w:hint="default"/>
        <w:lang w:val="en-au" w:eastAsia="en-au" w:bidi="en-au"/>
      </w:rPr>
    </w:lvl>
  </w:abstractNum>
  <w:abstractNum w:abstractNumId="50">
    <w:multiLevelType w:val="hybridMultilevel"/>
    <w:lvl w:ilvl="0">
      <w:start w:val="1"/>
      <w:numFmt w:val="decimal"/>
      <w:lvlText w:val="%1."/>
      <w:lvlJc w:val="left"/>
      <w:pPr>
        <w:ind w:left="1614" w:hanging="358"/>
        <w:jc w:val="right"/>
      </w:pPr>
      <w:rPr>
        <w:rFonts w:hint="default" w:ascii="Verdana" w:hAnsi="Verdana" w:eastAsia="Verdana" w:cs="Verdana"/>
        <w:b/>
        <w:bCs/>
        <w:color w:val="EC8A00"/>
        <w:spacing w:val="-20"/>
        <w:w w:val="100"/>
        <w:sz w:val="18"/>
        <w:szCs w:val="18"/>
        <w:lang w:val="en-au" w:eastAsia="en-au" w:bidi="en-au"/>
      </w:rPr>
    </w:lvl>
    <w:lvl w:ilvl="1">
      <w:start w:val="0"/>
      <w:numFmt w:val="bullet"/>
      <w:lvlText w:val="•"/>
      <w:lvlJc w:val="left"/>
      <w:pPr>
        <w:ind w:left="2402" w:hanging="358"/>
      </w:pPr>
      <w:rPr>
        <w:rFonts w:hint="default"/>
        <w:lang w:val="en-au" w:eastAsia="en-au" w:bidi="en-au"/>
      </w:rPr>
    </w:lvl>
    <w:lvl w:ilvl="2">
      <w:start w:val="0"/>
      <w:numFmt w:val="bullet"/>
      <w:lvlText w:val="•"/>
      <w:lvlJc w:val="left"/>
      <w:pPr>
        <w:ind w:left="3185" w:hanging="358"/>
      </w:pPr>
      <w:rPr>
        <w:rFonts w:hint="default"/>
        <w:lang w:val="en-au" w:eastAsia="en-au" w:bidi="en-au"/>
      </w:rPr>
    </w:lvl>
    <w:lvl w:ilvl="3">
      <w:start w:val="0"/>
      <w:numFmt w:val="bullet"/>
      <w:lvlText w:val="•"/>
      <w:lvlJc w:val="left"/>
      <w:pPr>
        <w:ind w:left="3967" w:hanging="358"/>
      </w:pPr>
      <w:rPr>
        <w:rFonts w:hint="default"/>
        <w:lang w:val="en-au" w:eastAsia="en-au" w:bidi="en-au"/>
      </w:rPr>
    </w:lvl>
    <w:lvl w:ilvl="4">
      <w:start w:val="0"/>
      <w:numFmt w:val="bullet"/>
      <w:lvlText w:val="•"/>
      <w:lvlJc w:val="left"/>
      <w:pPr>
        <w:ind w:left="4750" w:hanging="358"/>
      </w:pPr>
      <w:rPr>
        <w:rFonts w:hint="default"/>
        <w:lang w:val="en-au" w:eastAsia="en-au" w:bidi="en-au"/>
      </w:rPr>
    </w:lvl>
    <w:lvl w:ilvl="5">
      <w:start w:val="0"/>
      <w:numFmt w:val="bullet"/>
      <w:lvlText w:val="•"/>
      <w:lvlJc w:val="left"/>
      <w:pPr>
        <w:ind w:left="5533" w:hanging="358"/>
      </w:pPr>
      <w:rPr>
        <w:rFonts w:hint="default"/>
        <w:lang w:val="en-au" w:eastAsia="en-au" w:bidi="en-au"/>
      </w:rPr>
    </w:lvl>
    <w:lvl w:ilvl="6">
      <w:start w:val="0"/>
      <w:numFmt w:val="bullet"/>
      <w:lvlText w:val="•"/>
      <w:lvlJc w:val="left"/>
      <w:pPr>
        <w:ind w:left="6315" w:hanging="358"/>
      </w:pPr>
      <w:rPr>
        <w:rFonts w:hint="default"/>
        <w:lang w:val="en-au" w:eastAsia="en-au" w:bidi="en-au"/>
      </w:rPr>
    </w:lvl>
    <w:lvl w:ilvl="7">
      <w:start w:val="0"/>
      <w:numFmt w:val="bullet"/>
      <w:lvlText w:val="•"/>
      <w:lvlJc w:val="left"/>
      <w:pPr>
        <w:ind w:left="7098" w:hanging="358"/>
      </w:pPr>
      <w:rPr>
        <w:rFonts w:hint="default"/>
        <w:lang w:val="en-au" w:eastAsia="en-au" w:bidi="en-au"/>
      </w:rPr>
    </w:lvl>
    <w:lvl w:ilvl="8">
      <w:start w:val="0"/>
      <w:numFmt w:val="bullet"/>
      <w:lvlText w:val="•"/>
      <w:lvlJc w:val="left"/>
      <w:pPr>
        <w:ind w:left="7881" w:hanging="358"/>
      </w:pPr>
      <w:rPr>
        <w:rFonts w:hint="default"/>
        <w:lang w:val="en-au" w:eastAsia="en-au" w:bidi="en-au"/>
      </w:rPr>
    </w:lvl>
  </w:abstractNum>
  <w:abstractNum w:abstractNumId="49">
    <w:multiLevelType w:val="hybridMultilevel"/>
    <w:lvl w:ilvl="0">
      <w:start w:val="1"/>
      <w:numFmt w:val="decimal"/>
      <w:lvlText w:val="%1."/>
      <w:lvlJc w:val="left"/>
      <w:pPr>
        <w:ind w:left="460" w:hanging="360"/>
        <w:jc w:val="left"/>
      </w:pPr>
      <w:rPr>
        <w:rFonts w:hint="default" w:ascii="Verdana" w:hAnsi="Verdana" w:eastAsia="Verdana" w:cs="Verdana"/>
        <w:b/>
        <w:bCs/>
        <w:spacing w:val="-17"/>
        <w:w w:val="100"/>
        <w:sz w:val="18"/>
        <w:szCs w:val="18"/>
        <w:lang w:val="en-au" w:eastAsia="en-au" w:bidi="en-au"/>
      </w:rPr>
    </w:lvl>
    <w:lvl w:ilvl="1">
      <w:start w:val="1"/>
      <w:numFmt w:val="lowerLetter"/>
      <w:lvlText w:val="%2."/>
      <w:lvlJc w:val="left"/>
      <w:pPr>
        <w:ind w:left="1180" w:hanging="360"/>
        <w:jc w:val="left"/>
      </w:pPr>
      <w:rPr>
        <w:rFonts w:hint="default" w:ascii="Verdana" w:hAnsi="Verdana" w:eastAsia="Verdana" w:cs="Verdana"/>
        <w:spacing w:val="-4"/>
        <w:w w:val="100"/>
        <w:sz w:val="18"/>
        <w:szCs w:val="18"/>
        <w:lang w:val="en-au" w:eastAsia="en-au" w:bidi="en-au"/>
      </w:rPr>
    </w:lvl>
    <w:lvl w:ilvl="2">
      <w:start w:val="0"/>
      <w:numFmt w:val="bullet"/>
      <w:lvlText w:val="•"/>
      <w:lvlJc w:val="left"/>
      <w:pPr>
        <w:ind w:left="2074" w:hanging="360"/>
      </w:pPr>
      <w:rPr>
        <w:rFonts w:hint="default"/>
        <w:lang w:val="en-au" w:eastAsia="en-au" w:bidi="en-au"/>
      </w:rPr>
    </w:lvl>
    <w:lvl w:ilvl="3">
      <w:start w:val="0"/>
      <w:numFmt w:val="bullet"/>
      <w:lvlText w:val="•"/>
      <w:lvlJc w:val="left"/>
      <w:pPr>
        <w:ind w:left="2968" w:hanging="360"/>
      </w:pPr>
      <w:rPr>
        <w:rFonts w:hint="default"/>
        <w:lang w:val="en-au" w:eastAsia="en-au" w:bidi="en-au"/>
      </w:rPr>
    </w:lvl>
    <w:lvl w:ilvl="4">
      <w:start w:val="0"/>
      <w:numFmt w:val="bullet"/>
      <w:lvlText w:val="•"/>
      <w:lvlJc w:val="left"/>
      <w:pPr>
        <w:ind w:left="3862" w:hanging="360"/>
      </w:pPr>
      <w:rPr>
        <w:rFonts w:hint="default"/>
        <w:lang w:val="en-au" w:eastAsia="en-au" w:bidi="en-au"/>
      </w:rPr>
    </w:lvl>
    <w:lvl w:ilvl="5">
      <w:start w:val="0"/>
      <w:numFmt w:val="bullet"/>
      <w:lvlText w:val="•"/>
      <w:lvlJc w:val="left"/>
      <w:pPr>
        <w:ind w:left="4756" w:hanging="360"/>
      </w:pPr>
      <w:rPr>
        <w:rFonts w:hint="default"/>
        <w:lang w:val="en-au" w:eastAsia="en-au" w:bidi="en-au"/>
      </w:rPr>
    </w:lvl>
    <w:lvl w:ilvl="6">
      <w:start w:val="0"/>
      <w:numFmt w:val="bullet"/>
      <w:lvlText w:val="•"/>
      <w:lvlJc w:val="left"/>
      <w:pPr>
        <w:ind w:left="5650" w:hanging="360"/>
      </w:pPr>
      <w:rPr>
        <w:rFonts w:hint="default"/>
        <w:lang w:val="en-au" w:eastAsia="en-au" w:bidi="en-au"/>
      </w:rPr>
    </w:lvl>
    <w:lvl w:ilvl="7">
      <w:start w:val="0"/>
      <w:numFmt w:val="bullet"/>
      <w:lvlText w:val="•"/>
      <w:lvlJc w:val="left"/>
      <w:pPr>
        <w:ind w:left="6544" w:hanging="360"/>
      </w:pPr>
      <w:rPr>
        <w:rFonts w:hint="default"/>
        <w:lang w:val="en-au" w:eastAsia="en-au" w:bidi="en-au"/>
      </w:rPr>
    </w:lvl>
    <w:lvl w:ilvl="8">
      <w:start w:val="0"/>
      <w:numFmt w:val="bullet"/>
      <w:lvlText w:val="•"/>
      <w:lvlJc w:val="left"/>
      <w:pPr>
        <w:ind w:left="7438" w:hanging="360"/>
      </w:pPr>
      <w:rPr>
        <w:rFonts w:hint="default"/>
        <w:lang w:val="en-au" w:eastAsia="en-au" w:bidi="en-au"/>
      </w:rPr>
    </w:lvl>
  </w:abstractNum>
  <w:abstractNum w:abstractNumId="48">
    <w:multiLevelType w:val="hybridMultilevel"/>
    <w:lvl w:ilvl="0">
      <w:start w:val="0"/>
      <w:numFmt w:val="bullet"/>
      <w:lvlText w:val=""/>
      <w:lvlJc w:val="left"/>
      <w:pPr>
        <w:ind w:left="460" w:hanging="360"/>
      </w:pPr>
      <w:rPr>
        <w:rFonts w:hint="default" w:ascii="Symbol" w:hAnsi="Symbol" w:eastAsia="Symbol" w:cs="Symbol"/>
        <w:w w:val="100"/>
        <w:sz w:val="18"/>
        <w:szCs w:val="18"/>
        <w:lang w:val="en-au" w:eastAsia="en-au" w:bidi="en-au"/>
      </w:rPr>
    </w:lvl>
    <w:lvl w:ilvl="1">
      <w:start w:val="0"/>
      <w:numFmt w:val="bullet"/>
      <w:lvlText w:val="•"/>
      <w:lvlJc w:val="left"/>
      <w:pPr>
        <w:ind w:left="1336" w:hanging="360"/>
      </w:pPr>
      <w:rPr>
        <w:rFonts w:hint="default"/>
        <w:lang w:val="en-au" w:eastAsia="en-au" w:bidi="en-au"/>
      </w:rPr>
    </w:lvl>
    <w:lvl w:ilvl="2">
      <w:start w:val="0"/>
      <w:numFmt w:val="bullet"/>
      <w:lvlText w:val="•"/>
      <w:lvlJc w:val="left"/>
      <w:pPr>
        <w:ind w:left="2213" w:hanging="360"/>
      </w:pPr>
      <w:rPr>
        <w:rFonts w:hint="default"/>
        <w:lang w:val="en-au" w:eastAsia="en-au" w:bidi="en-au"/>
      </w:rPr>
    </w:lvl>
    <w:lvl w:ilvl="3">
      <w:start w:val="0"/>
      <w:numFmt w:val="bullet"/>
      <w:lvlText w:val="•"/>
      <w:lvlJc w:val="left"/>
      <w:pPr>
        <w:ind w:left="3089" w:hanging="360"/>
      </w:pPr>
      <w:rPr>
        <w:rFonts w:hint="default"/>
        <w:lang w:val="en-au" w:eastAsia="en-au" w:bidi="en-au"/>
      </w:rPr>
    </w:lvl>
    <w:lvl w:ilvl="4">
      <w:start w:val="0"/>
      <w:numFmt w:val="bullet"/>
      <w:lvlText w:val="•"/>
      <w:lvlJc w:val="left"/>
      <w:pPr>
        <w:ind w:left="3966" w:hanging="360"/>
      </w:pPr>
      <w:rPr>
        <w:rFonts w:hint="default"/>
        <w:lang w:val="en-au" w:eastAsia="en-au" w:bidi="en-au"/>
      </w:rPr>
    </w:lvl>
    <w:lvl w:ilvl="5">
      <w:start w:val="0"/>
      <w:numFmt w:val="bullet"/>
      <w:lvlText w:val="•"/>
      <w:lvlJc w:val="left"/>
      <w:pPr>
        <w:ind w:left="4843" w:hanging="360"/>
      </w:pPr>
      <w:rPr>
        <w:rFonts w:hint="default"/>
        <w:lang w:val="en-au" w:eastAsia="en-au" w:bidi="en-au"/>
      </w:rPr>
    </w:lvl>
    <w:lvl w:ilvl="6">
      <w:start w:val="0"/>
      <w:numFmt w:val="bullet"/>
      <w:lvlText w:val="•"/>
      <w:lvlJc w:val="left"/>
      <w:pPr>
        <w:ind w:left="5719" w:hanging="360"/>
      </w:pPr>
      <w:rPr>
        <w:rFonts w:hint="default"/>
        <w:lang w:val="en-au" w:eastAsia="en-au" w:bidi="en-au"/>
      </w:rPr>
    </w:lvl>
    <w:lvl w:ilvl="7">
      <w:start w:val="0"/>
      <w:numFmt w:val="bullet"/>
      <w:lvlText w:val="•"/>
      <w:lvlJc w:val="left"/>
      <w:pPr>
        <w:ind w:left="6596" w:hanging="360"/>
      </w:pPr>
      <w:rPr>
        <w:rFonts w:hint="default"/>
        <w:lang w:val="en-au" w:eastAsia="en-au" w:bidi="en-au"/>
      </w:rPr>
    </w:lvl>
    <w:lvl w:ilvl="8">
      <w:start w:val="0"/>
      <w:numFmt w:val="bullet"/>
      <w:lvlText w:val="•"/>
      <w:lvlJc w:val="left"/>
      <w:pPr>
        <w:ind w:left="7473" w:hanging="360"/>
      </w:pPr>
      <w:rPr>
        <w:rFonts w:hint="default"/>
        <w:lang w:val="en-au" w:eastAsia="en-au" w:bidi="en-au"/>
      </w:rPr>
    </w:lvl>
  </w:abstractNum>
  <w:abstractNum w:abstractNumId="47">
    <w:multiLevelType w:val="hybridMultilevel"/>
    <w:lvl w:ilvl="0">
      <w:start w:val="0"/>
      <w:numFmt w:val="bullet"/>
      <w:lvlText w:val=""/>
      <w:lvlJc w:val="left"/>
      <w:pPr>
        <w:ind w:left="426" w:hanging="360"/>
      </w:pPr>
      <w:rPr>
        <w:rFonts w:hint="default" w:ascii="Symbol" w:hAnsi="Symbol" w:eastAsia="Symbol" w:cs="Symbol"/>
        <w:w w:val="100"/>
        <w:sz w:val="17"/>
        <w:szCs w:val="17"/>
        <w:lang w:val="en-au" w:eastAsia="en-au" w:bidi="en-au"/>
      </w:rPr>
    </w:lvl>
    <w:lvl w:ilvl="1">
      <w:start w:val="0"/>
      <w:numFmt w:val="bullet"/>
      <w:lvlText w:val="•"/>
      <w:lvlJc w:val="left"/>
      <w:pPr>
        <w:ind w:left="1006" w:hanging="360"/>
      </w:pPr>
      <w:rPr>
        <w:rFonts w:hint="default"/>
        <w:lang w:val="en-au" w:eastAsia="en-au" w:bidi="en-au"/>
      </w:rPr>
    </w:lvl>
    <w:lvl w:ilvl="2">
      <w:start w:val="0"/>
      <w:numFmt w:val="bullet"/>
      <w:lvlText w:val="•"/>
      <w:lvlJc w:val="left"/>
      <w:pPr>
        <w:ind w:left="1592" w:hanging="360"/>
      </w:pPr>
      <w:rPr>
        <w:rFonts w:hint="default"/>
        <w:lang w:val="en-au" w:eastAsia="en-au" w:bidi="en-au"/>
      </w:rPr>
    </w:lvl>
    <w:lvl w:ilvl="3">
      <w:start w:val="0"/>
      <w:numFmt w:val="bullet"/>
      <w:lvlText w:val="•"/>
      <w:lvlJc w:val="left"/>
      <w:pPr>
        <w:ind w:left="2178" w:hanging="360"/>
      </w:pPr>
      <w:rPr>
        <w:rFonts w:hint="default"/>
        <w:lang w:val="en-au" w:eastAsia="en-au" w:bidi="en-au"/>
      </w:rPr>
    </w:lvl>
    <w:lvl w:ilvl="4">
      <w:start w:val="0"/>
      <w:numFmt w:val="bullet"/>
      <w:lvlText w:val="•"/>
      <w:lvlJc w:val="left"/>
      <w:pPr>
        <w:ind w:left="2764" w:hanging="360"/>
      </w:pPr>
      <w:rPr>
        <w:rFonts w:hint="default"/>
        <w:lang w:val="en-au" w:eastAsia="en-au" w:bidi="en-au"/>
      </w:rPr>
    </w:lvl>
    <w:lvl w:ilvl="5">
      <w:start w:val="0"/>
      <w:numFmt w:val="bullet"/>
      <w:lvlText w:val="•"/>
      <w:lvlJc w:val="left"/>
      <w:pPr>
        <w:ind w:left="3350" w:hanging="360"/>
      </w:pPr>
      <w:rPr>
        <w:rFonts w:hint="default"/>
        <w:lang w:val="en-au" w:eastAsia="en-au" w:bidi="en-au"/>
      </w:rPr>
    </w:lvl>
    <w:lvl w:ilvl="6">
      <w:start w:val="0"/>
      <w:numFmt w:val="bullet"/>
      <w:lvlText w:val="•"/>
      <w:lvlJc w:val="left"/>
      <w:pPr>
        <w:ind w:left="3936" w:hanging="360"/>
      </w:pPr>
      <w:rPr>
        <w:rFonts w:hint="default"/>
        <w:lang w:val="en-au" w:eastAsia="en-au" w:bidi="en-au"/>
      </w:rPr>
    </w:lvl>
    <w:lvl w:ilvl="7">
      <w:start w:val="0"/>
      <w:numFmt w:val="bullet"/>
      <w:lvlText w:val="•"/>
      <w:lvlJc w:val="left"/>
      <w:pPr>
        <w:ind w:left="4522" w:hanging="360"/>
      </w:pPr>
      <w:rPr>
        <w:rFonts w:hint="default"/>
        <w:lang w:val="en-au" w:eastAsia="en-au" w:bidi="en-au"/>
      </w:rPr>
    </w:lvl>
    <w:lvl w:ilvl="8">
      <w:start w:val="0"/>
      <w:numFmt w:val="bullet"/>
      <w:lvlText w:val="•"/>
      <w:lvlJc w:val="left"/>
      <w:pPr>
        <w:ind w:left="5108" w:hanging="360"/>
      </w:pPr>
      <w:rPr>
        <w:rFonts w:hint="default"/>
        <w:lang w:val="en-au" w:eastAsia="en-au" w:bidi="en-au"/>
      </w:rPr>
    </w:lvl>
  </w:abstractNum>
  <w:abstractNum w:abstractNumId="46">
    <w:multiLevelType w:val="hybridMultilevel"/>
    <w:lvl w:ilvl="0">
      <w:start w:val="0"/>
      <w:numFmt w:val="bullet"/>
      <w:lvlText w:val=""/>
      <w:lvlJc w:val="left"/>
      <w:pPr>
        <w:ind w:left="426" w:hanging="360"/>
      </w:pPr>
      <w:rPr>
        <w:rFonts w:hint="default" w:ascii="Symbol" w:hAnsi="Symbol" w:eastAsia="Symbol" w:cs="Symbol"/>
        <w:w w:val="100"/>
        <w:sz w:val="17"/>
        <w:szCs w:val="17"/>
        <w:lang w:val="en-au" w:eastAsia="en-au" w:bidi="en-au"/>
      </w:rPr>
    </w:lvl>
    <w:lvl w:ilvl="1">
      <w:start w:val="0"/>
      <w:numFmt w:val="bullet"/>
      <w:lvlText w:val="•"/>
      <w:lvlJc w:val="left"/>
      <w:pPr>
        <w:ind w:left="1006" w:hanging="360"/>
      </w:pPr>
      <w:rPr>
        <w:rFonts w:hint="default"/>
        <w:lang w:val="en-au" w:eastAsia="en-au" w:bidi="en-au"/>
      </w:rPr>
    </w:lvl>
    <w:lvl w:ilvl="2">
      <w:start w:val="0"/>
      <w:numFmt w:val="bullet"/>
      <w:lvlText w:val="•"/>
      <w:lvlJc w:val="left"/>
      <w:pPr>
        <w:ind w:left="1592" w:hanging="360"/>
      </w:pPr>
      <w:rPr>
        <w:rFonts w:hint="default"/>
        <w:lang w:val="en-au" w:eastAsia="en-au" w:bidi="en-au"/>
      </w:rPr>
    </w:lvl>
    <w:lvl w:ilvl="3">
      <w:start w:val="0"/>
      <w:numFmt w:val="bullet"/>
      <w:lvlText w:val="•"/>
      <w:lvlJc w:val="left"/>
      <w:pPr>
        <w:ind w:left="2178" w:hanging="360"/>
      </w:pPr>
      <w:rPr>
        <w:rFonts w:hint="default"/>
        <w:lang w:val="en-au" w:eastAsia="en-au" w:bidi="en-au"/>
      </w:rPr>
    </w:lvl>
    <w:lvl w:ilvl="4">
      <w:start w:val="0"/>
      <w:numFmt w:val="bullet"/>
      <w:lvlText w:val="•"/>
      <w:lvlJc w:val="left"/>
      <w:pPr>
        <w:ind w:left="2764" w:hanging="360"/>
      </w:pPr>
      <w:rPr>
        <w:rFonts w:hint="default"/>
        <w:lang w:val="en-au" w:eastAsia="en-au" w:bidi="en-au"/>
      </w:rPr>
    </w:lvl>
    <w:lvl w:ilvl="5">
      <w:start w:val="0"/>
      <w:numFmt w:val="bullet"/>
      <w:lvlText w:val="•"/>
      <w:lvlJc w:val="left"/>
      <w:pPr>
        <w:ind w:left="3350" w:hanging="360"/>
      </w:pPr>
      <w:rPr>
        <w:rFonts w:hint="default"/>
        <w:lang w:val="en-au" w:eastAsia="en-au" w:bidi="en-au"/>
      </w:rPr>
    </w:lvl>
    <w:lvl w:ilvl="6">
      <w:start w:val="0"/>
      <w:numFmt w:val="bullet"/>
      <w:lvlText w:val="•"/>
      <w:lvlJc w:val="left"/>
      <w:pPr>
        <w:ind w:left="3936" w:hanging="360"/>
      </w:pPr>
      <w:rPr>
        <w:rFonts w:hint="default"/>
        <w:lang w:val="en-au" w:eastAsia="en-au" w:bidi="en-au"/>
      </w:rPr>
    </w:lvl>
    <w:lvl w:ilvl="7">
      <w:start w:val="0"/>
      <w:numFmt w:val="bullet"/>
      <w:lvlText w:val="•"/>
      <w:lvlJc w:val="left"/>
      <w:pPr>
        <w:ind w:left="4522" w:hanging="360"/>
      </w:pPr>
      <w:rPr>
        <w:rFonts w:hint="default"/>
        <w:lang w:val="en-au" w:eastAsia="en-au" w:bidi="en-au"/>
      </w:rPr>
    </w:lvl>
    <w:lvl w:ilvl="8">
      <w:start w:val="0"/>
      <w:numFmt w:val="bullet"/>
      <w:lvlText w:val="•"/>
      <w:lvlJc w:val="left"/>
      <w:pPr>
        <w:ind w:left="5108" w:hanging="360"/>
      </w:pPr>
      <w:rPr>
        <w:rFonts w:hint="default"/>
        <w:lang w:val="en-au" w:eastAsia="en-au" w:bidi="en-au"/>
      </w:rPr>
    </w:lvl>
  </w:abstractNum>
  <w:abstractNum w:abstractNumId="45">
    <w:multiLevelType w:val="hybridMultilevel"/>
    <w:lvl w:ilvl="0">
      <w:start w:val="0"/>
      <w:numFmt w:val="bullet"/>
      <w:lvlText w:val=""/>
      <w:lvlJc w:val="left"/>
      <w:pPr>
        <w:ind w:left="426" w:hanging="360"/>
      </w:pPr>
      <w:rPr>
        <w:rFonts w:hint="default" w:ascii="Symbol" w:hAnsi="Symbol" w:eastAsia="Symbol" w:cs="Symbol"/>
        <w:w w:val="100"/>
        <w:sz w:val="17"/>
        <w:szCs w:val="17"/>
        <w:lang w:val="en-au" w:eastAsia="en-au" w:bidi="en-au"/>
      </w:rPr>
    </w:lvl>
    <w:lvl w:ilvl="1">
      <w:start w:val="0"/>
      <w:numFmt w:val="bullet"/>
      <w:lvlText w:val="•"/>
      <w:lvlJc w:val="left"/>
      <w:pPr>
        <w:ind w:left="1006" w:hanging="360"/>
      </w:pPr>
      <w:rPr>
        <w:rFonts w:hint="default"/>
        <w:lang w:val="en-au" w:eastAsia="en-au" w:bidi="en-au"/>
      </w:rPr>
    </w:lvl>
    <w:lvl w:ilvl="2">
      <w:start w:val="0"/>
      <w:numFmt w:val="bullet"/>
      <w:lvlText w:val="•"/>
      <w:lvlJc w:val="left"/>
      <w:pPr>
        <w:ind w:left="1592" w:hanging="360"/>
      </w:pPr>
      <w:rPr>
        <w:rFonts w:hint="default"/>
        <w:lang w:val="en-au" w:eastAsia="en-au" w:bidi="en-au"/>
      </w:rPr>
    </w:lvl>
    <w:lvl w:ilvl="3">
      <w:start w:val="0"/>
      <w:numFmt w:val="bullet"/>
      <w:lvlText w:val="•"/>
      <w:lvlJc w:val="left"/>
      <w:pPr>
        <w:ind w:left="2178" w:hanging="360"/>
      </w:pPr>
      <w:rPr>
        <w:rFonts w:hint="default"/>
        <w:lang w:val="en-au" w:eastAsia="en-au" w:bidi="en-au"/>
      </w:rPr>
    </w:lvl>
    <w:lvl w:ilvl="4">
      <w:start w:val="0"/>
      <w:numFmt w:val="bullet"/>
      <w:lvlText w:val="•"/>
      <w:lvlJc w:val="left"/>
      <w:pPr>
        <w:ind w:left="2764" w:hanging="360"/>
      </w:pPr>
      <w:rPr>
        <w:rFonts w:hint="default"/>
        <w:lang w:val="en-au" w:eastAsia="en-au" w:bidi="en-au"/>
      </w:rPr>
    </w:lvl>
    <w:lvl w:ilvl="5">
      <w:start w:val="0"/>
      <w:numFmt w:val="bullet"/>
      <w:lvlText w:val="•"/>
      <w:lvlJc w:val="left"/>
      <w:pPr>
        <w:ind w:left="3350" w:hanging="360"/>
      </w:pPr>
      <w:rPr>
        <w:rFonts w:hint="default"/>
        <w:lang w:val="en-au" w:eastAsia="en-au" w:bidi="en-au"/>
      </w:rPr>
    </w:lvl>
    <w:lvl w:ilvl="6">
      <w:start w:val="0"/>
      <w:numFmt w:val="bullet"/>
      <w:lvlText w:val="•"/>
      <w:lvlJc w:val="left"/>
      <w:pPr>
        <w:ind w:left="3936" w:hanging="360"/>
      </w:pPr>
      <w:rPr>
        <w:rFonts w:hint="default"/>
        <w:lang w:val="en-au" w:eastAsia="en-au" w:bidi="en-au"/>
      </w:rPr>
    </w:lvl>
    <w:lvl w:ilvl="7">
      <w:start w:val="0"/>
      <w:numFmt w:val="bullet"/>
      <w:lvlText w:val="•"/>
      <w:lvlJc w:val="left"/>
      <w:pPr>
        <w:ind w:left="4522" w:hanging="360"/>
      </w:pPr>
      <w:rPr>
        <w:rFonts w:hint="default"/>
        <w:lang w:val="en-au" w:eastAsia="en-au" w:bidi="en-au"/>
      </w:rPr>
    </w:lvl>
    <w:lvl w:ilvl="8">
      <w:start w:val="0"/>
      <w:numFmt w:val="bullet"/>
      <w:lvlText w:val="•"/>
      <w:lvlJc w:val="left"/>
      <w:pPr>
        <w:ind w:left="5108" w:hanging="360"/>
      </w:pPr>
      <w:rPr>
        <w:rFonts w:hint="default"/>
        <w:lang w:val="en-au" w:eastAsia="en-au" w:bidi="en-au"/>
      </w:rPr>
    </w:lvl>
  </w:abstractNum>
  <w:abstractNum w:abstractNumId="44">
    <w:multiLevelType w:val="hybridMultilevel"/>
    <w:lvl w:ilvl="0">
      <w:start w:val="0"/>
      <w:numFmt w:val="bullet"/>
      <w:lvlText w:val=""/>
      <w:lvlJc w:val="left"/>
      <w:pPr>
        <w:ind w:left="426" w:hanging="360"/>
      </w:pPr>
      <w:rPr>
        <w:rFonts w:hint="default" w:ascii="Symbol" w:hAnsi="Symbol" w:eastAsia="Symbol" w:cs="Symbol"/>
        <w:w w:val="100"/>
        <w:sz w:val="17"/>
        <w:szCs w:val="17"/>
        <w:lang w:val="en-au" w:eastAsia="en-au" w:bidi="en-au"/>
      </w:rPr>
    </w:lvl>
    <w:lvl w:ilvl="1">
      <w:start w:val="0"/>
      <w:numFmt w:val="bullet"/>
      <w:lvlText w:val="•"/>
      <w:lvlJc w:val="left"/>
      <w:pPr>
        <w:ind w:left="1006" w:hanging="360"/>
      </w:pPr>
      <w:rPr>
        <w:rFonts w:hint="default"/>
        <w:lang w:val="en-au" w:eastAsia="en-au" w:bidi="en-au"/>
      </w:rPr>
    </w:lvl>
    <w:lvl w:ilvl="2">
      <w:start w:val="0"/>
      <w:numFmt w:val="bullet"/>
      <w:lvlText w:val="•"/>
      <w:lvlJc w:val="left"/>
      <w:pPr>
        <w:ind w:left="1592" w:hanging="360"/>
      </w:pPr>
      <w:rPr>
        <w:rFonts w:hint="default"/>
        <w:lang w:val="en-au" w:eastAsia="en-au" w:bidi="en-au"/>
      </w:rPr>
    </w:lvl>
    <w:lvl w:ilvl="3">
      <w:start w:val="0"/>
      <w:numFmt w:val="bullet"/>
      <w:lvlText w:val="•"/>
      <w:lvlJc w:val="left"/>
      <w:pPr>
        <w:ind w:left="2178" w:hanging="360"/>
      </w:pPr>
      <w:rPr>
        <w:rFonts w:hint="default"/>
        <w:lang w:val="en-au" w:eastAsia="en-au" w:bidi="en-au"/>
      </w:rPr>
    </w:lvl>
    <w:lvl w:ilvl="4">
      <w:start w:val="0"/>
      <w:numFmt w:val="bullet"/>
      <w:lvlText w:val="•"/>
      <w:lvlJc w:val="left"/>
      <w:pPr>
        <w:ind w:left="2764" w:hanging="360"/>
      </w:pPr>
      <w:rPr>
        <w:rFonts w:hint="default"/>
        <w:lang w:val="en-au" w:eastAsia="en-au" w:bidi="en-au"/>
      </w:rPr>
    </w:lvl>
    <w:lvl w:ilvl="5">
      <w:start w:val="0"/>
      <w:numFmt w:val="bullet"/>
      <w:lvlText w:val="•"/>
      <w:lvlJc w:val="left"/>
      <w:pPr>
        <w:ind w:left="3350" w:hanging="360"/>
      </w:pPr>
      <w:rPr>
        <w:rFonts w:hint="default"/>
        <w:lang w:val="en-au" w:eastAsia="en-au" w:bidi="en-au"/>
      </w:rPr>
    </w:lvl>
    <w:lvl w:ilvl="6">
      <w:start w:val="0"/>
      <w:numFmt w:val="bullet"/>
      <w:lvlText w:val="•"/>
      <w:lvlJc w:val="left"/>
      <w:pPr>
        <w:ind w:left="3936" w:hanging="360"/>
      </w:pPr>
      <w:rPr>
        <w:rFonts w:hint="default"/>
        <w:lang w:val="en-au" w:eastAsia="en-au" w:bidi="en-au"/>
      </w:rPr>
    </w:lvl>
    <w:lvl w:ilvl="7">
      <w:start w:val="0"/>
      <w:numFmt w:val="bullet"/>
      <w:lvlText w:val="•"/>
      <w:lvlJc w:val="left"/>
      <w:pPr>
        <w:ind w:left="4522" w:hanging="360"/>
      </w:pPr>
      <w:rPr>
        <w:rFonts w:hint="default"/>
        <w:lang w:val="en-au" w:eastAsia="en-au" w:bidi="en-au"/>
      </w:rPr>
    </w:lvl>
    <w:lvl w:ilvl="8">
      <w:start w:val="0"/>
      <w:numFmt w:val="bullet"/>
      <w:lvlText w:val="•"/>
      <w:lvlJc w:val="left"/>
      <w:pPr>
        <w:ind w:left="5108" w:hanging="360"/>
      </w:pPr>
      <w:rPr>
        <w:rFonts w:hint="default"/>
        <w:lang w:val="en-au" w:eastAsia="en-au" w:bidi="en-au"/>
      </w:rPr>
    </w:lvl>
  </w:abstractNum>
  <w:abstractNum w:abstractNumId="43">
    <w:multiLevelType w:val="hybridMultilevel"/>
    <w:lvl w:ilvl="0">
      <w:start w:val="0"/>
      <w:numFmt w:val="bullet"/>
      <w:lvlText w:val=""/>
      <w:lvlJc w:val="left"/>
      <w:pPr>
        <w:ind w:left="426" w:hanging="360"/>
      </w:pPr>
      <w:rPr>
        <w:rFonts w:hint="default" w:ascii="Symbol" w:hAnsi="Symbol" w:eastAsia="Symbol" w:cs="Symbol"/>
        <w:w w:val="100"/>
        <w:sz w:val="17"/>
        <w:szCs w:val="17"/>
        <w:lang w:val="en-au" w:eastAsia="en-au" w:bidi="en-au"/>
      </w:rPr>
    </w:lvl>
    <w:lvl w:ilvl="1">
      <w:start w:val="0"/>
      <w:numFmt w:val="bullet"/>
      <w:lvlText w:val="•"/>
      <w:lvlJc w:val="left"/>
      <w:pPr>
        <w:ind w:left="1006" w:hanging="360"/>
      </w:pPr>
      <w:rPr>
        <w:rFonts w:hint="default"/>
        <w:lang w:val="en-au" w:eastAsia="en-au" w:bidi="en-au"/>
      </w:rPr>
    </w:lvl>
    <w:lvl w:ilvl="2">
      <w:start w:val="0"/>
      <w:numFmt w:val="bullet"/>
      <w:lvlText w:val="•"/>
      <w:lvlJc w:val="left"/>
      <w:pPr>
        <w:ind w:left="1592" w:hanging="360"/>
      </w:pPr>
      <w:rPr>
        <w:rFonts w:hint="default"/>
        <w:lang w:val="en-au" w:eastAsia="en-au" w:bidi="en-au"/>
      </w:rPr>
    </w:lvl>
    <w:lvl w:ilvl="3">
      <w:start w:val="0"/>
      <w:numFmt w:val="bullet"/>
      <w:lvlText w:val="•"/>
      <w:lvlJc w:val="left"/>
      <w:pPr>
        <w:ind w:left="2178" w:hanging="360"/>
      </w:pPr>
      <w:rPr>
        <w:rFonts w:hint="default"/>
        <w:lang w:val="en-au" w:eastAsia="en-au" w:bidi="en-au"/>
      </w:rPr>
    </w:lvl>
    <w:lvl w:ilvl="4">
      <w:start w:val="0"/>
      <w:numFmt w:val="bullet"/>
      <w:lvlText w:val="•"/>
      <w:lvlJc w:val="left"/>
      <w:pPr>
        <w:ind w:left="2764" w:hanging="360"/>
      </w:pPr>
      <w:rPr>
        <w:rFonts w:hint="default"/>
        <w:lang w:val="en-au" w:eastAsia="en-au" w:bidi="en-au"/>
      </w:rPr>
    </w:lvl>
    <w:lvl w:ilvl="5">
      <w:start w:val="0"/>
      <w:numFmt w:val="bullet"/>
      <w:lvlText w:val="•"/>
      <w:lvlJc w:val="left"/>
      <w:pPr>
        <w:ind w:left="3350" w:hanging="360"/>
      </w:pPr>
      <w:rPr>
        <w:rFonts w:hint="default"/>
        <w:lang w:val="en-au" w:eastAsia="en-au" w:bidi="en-au"/>
      </w:rPr>
    </w:lvl>
    <w:lvl w:ilvl="6">
      <w:start w:val="0"/>
      <w:numFmt w:val="bullet"/>
      <w:lvlText w:val="•"/>
      <w:lvlJc w:val="left"/>
      <w:pPr>
        <w:ind w:left="3936" w:hanging="360"/>
      </w:pPr>
      <w:rPr>
        <w:rFonts w:hint="default"/>
        <w:lang w:val="en-au" w:eastAsia="en-au" w:bidi="en-au"/>
      </w:rPr>
    </w:lvl>
    <w:lvl w:ilvl="7">
      <w:start w:val="0"/>
      <w:numFmt w:val="bullet"/>
      <w:lvlText w:val="•"/>
      <w:lvlJc w:val="left"/>
      <w:pPr>
        <w:ind w:left="4522" w:hanging="360"/>
      </w:pPr>
      <w:rPr>
        <w:rFonts w:hint="default"/>
        <w:lang w:val="en-au" w:eastAsia="en-au" w:bidi="en-au"/>
      </w:rPr>
    </w:lvl>
    <w:lvl w:ilvl="8">
      <w:start w:val="0"/>
      <w:numFmt w:val="bullet"/>
      <w:lvlText w:val="•"/>
      <w:lvlJc w:val="left"/>
      <w:pPr>
        <w:ind w:left="5108" w:hanging="360"/>
      </w:pPr>
      <w:rPr>
        <w:rFonts w:hint="default"/>
        <w:lang w:val="en-au" w:eastAsia="en-au" w:bidi="en-au"/>
      </w:rPr>
    </w:lvl>
  </w:abstractNum>
  <w:abstractNum w:abstractNumId="42">
    <w:multiLevelType w:val="hybridMultilevel"/>
    <w:lvl w:ilvl="0">
      <w:start w:val="0"/>
      <w:numFmt w:val="bullet"/>
      <w:lvlText w:val=""/>
      <w:lvlJc w:val="left"/>
      <w:pPr>
        <w:ind w:left="426" w:hanging="360"/>
      </w:pPr>
      <w:rPr>
        <w:rFonts w:hint="default" w:ascii="Symbol" w:hAnsi="Symbol" w:eastAsia="Symbol" w:cs="Symbol"/>
        <w:w w:val="100"/>
        <w:sz w:val="17"/>
        <w:szCs w:val="17"/>
        <w:lang w:val="en-au" w:eastAsia="en-au" w:bidi="en-au"/>
      </w:rPr>
    </w:lvl>
    <w:lvl w:ilvl="1">
      <w:start w:val="0"/>
      <w:numFmt w:val="bullet"/>
      <w:lvlText w:val="•"/>
      <w:lvlJc w:val="left"/>
      <w:pPr>
        <w:ind w:left="1006" w:hanging="360"/>
      </w:pPr>
      <w:rPr>
        <w:rFonts w:hint="default"/>
        <w:lang w:val="en-au" w:eastAsia="en-au" w:bidi="en-au"/>
      </w:rPr>
    </w:lvl>
    <w:lvl w:ilvl="2">
      <w:start w:val="0"/>
      <w:numFmt w:val="bullet"/>
      <w:lvlText w:val="•"/>
      <w:lvlJc w:val="left"/>
      <w:pPr>
        <w:ind w:left="1592" w:hanging="360"/>
      </w:pPr>
      <w:rPr>
        <w:rFonts w:hint="default"/>
        <w:lang w:val="en-au" w:eastAsia="en-au" w:bidi="en-au"/>
      </w:rPr>
    </w:lvl>
    <w:lvl w:ilvl="3">
      <w:start w:val="0"/>
      <w:numFmt w:val="bullet"/>
      <w:lvlText w:val="•"/>
      <w:lvlJc w:val="left"/>
      <w:pPr>
        <w:ind w:left="2178" w:hanging="360"/>
      </w:pPr>
      <w:rPr>
        <w:rFonts w:hint="default"/>
        <w:lang w:val="en-au" w:eastAsia="en-au" w:bidi="en-au"/>
      </w:rPr>
    </w:lvl>
    <w:lvl w:ilvl="4">
      <w:start w:val="0"/>
      <w:numFmt w:val="bullet"/>
      <w:lvlText w:val="•"/>
      <w:lvlJc w:val="left"/>
      <w:pPr>
        <w:ind w:left="2764" w:hanging="360"/>
      </w:pPr>
      <w:rPr>
        <w:rFonts w:hint="default"/>
        <w:lang w:val="en-au" w:eastAsia="en-au" w:bidi="en-au"/>
      </w:rPr>
    </w:lvl>
    <w:lvl w:ilvl="5">
      <w:start w:val="0"/>
      <w:numFmt w:val="bullet"/>
      <w:lvlText w:val="•"/>
      <w:lvlJc w:val="left"/>
      <w:pPr>
        <w:ind w:left="3350" w:hanging="360"/>
      </w:pPr>
      <w:rPr>
        <w:rFonts w:hint="default"/>
        <w:lang w:val="en-au" w:eastAsia="en-au" w:bidi="en-au"/>
      </w:rPr>
    </w:lvl>
    <w:lvl w:ilvl="6">
      <w:start w:val="0"/>
      <w:numFmt w:val="bullet"/>
      <w:lvlText w:val="•"/>
      <w:lvlJc w:val="left"/>
      <w:pPr>
        <w:ind w:left="3936" w:hanging="360"/>
      </w:pPr>
      <w:rPr>
        <w:rFonts w:hint="default"/>
        <w:lang w:val="en-au" w:eastAsia="en-au" w:bidi="en-au"/>
      </w:rPr>
    </w:lvl>
    <w:lvl w:ilvl="7">
      <w:start w:val="0"/>
      <w:numFmt w:val="bullet"/>
      <w:lvlText w:val="•"/>
      <w:lvlJc w:val="left"/>
      <w:pPr>
        <w:ind w:left="4522" w:hanging="360"/>
      </w:pPr>
      <w:rPr>
        <w:rFonts w:hint="default"/>
        <w:lang w:val="en-au" w:eastAsia="en-au" w:bidi="en-au"/>
      </w:rPr>
    </w:lvl>
    <w:lvl w:ilvl="8">
      <w:start w:val="0"/>
      <w:numFmt w:val="bullet"/>
      <w:lvlText w:val="•"/>
      <w:lvlJc w:val="left"/>
      <w:pPr>
        <w:ind w:left="5108" w:hanging="360"/>
      </w:pPr>
      <w:rPr>
        <w:rFonts w:hint="default"/>
        <w:lang w:val="en-au" w:eastAsia="en-au" w:bidi="en-au"/>
      </w:rPr>
    </w:lvl>
  </w:abstractNum>
  <w:abstractNum w:abstractNumId="41">
    <w:multiLevelType w:val="hybridMultilevel"/>
    <w:lvl w:ilvl="0">
      <w:start w:val="0"/>
      <w:numFmt w:val="bullet"/>
      <w:lvlText w:val=""/>
      <w:lvlJc w:val="left"/>
      <w:pPr>
        <w:ind w:left="426" w:hanging="360"/>
      </w:pPr>
      <w:rPr>
        <w:rFonts w:hint="default" w:ascii="Symbol" w:hAnsi="Symbol" w:eastAsia="Symbol" w:cs="Symbol"/>
        <w:w w:val="100"/>
        <w:sz w:val="17"/>
        <w:szCs w:val="17"/>
        <w:lang w:val="en-au" w:eastAsia="en-au" w:bidi="en-au"/>
      </w:rPr>
    </w:lvl>
    <w:lvl w:ilvl="1">
      <w:start w:val="0"/>
      <w:numFmt w:val="bullet"/>
      <w:lvlText w:val="•"/>
      <w:lvlJc w:val="left"/>
      <w:pPr>
        <w:ind w:left="1006" w:hanging="360"/>
      </w:pPr>
      <w:rPr>
        <w:rFonts w:hint="default"/>
        <w:lang w:val="en-au" w:eastAsia="en-au" w:bidi="en-au"/>
      </w:rPr>
    </w:lvl>
    <w:lvl w:ilvl="2">
      <w:start w:val="0"/>
      <w:numFmt w:val="bullet"/>
      <w:lvlText w:val="•"/>
      <w:lvlJc w:val="left"/>
      <w:pPr>
        <w:ind w:left="1592" w:hanging="360"/>
      </w:pPr>
      <w:rPr>
        <w:rFonts w:hint="default"/>
        <w:lang w:val="en-au" w:eastAsia="en-au" w:bidi="en-au"/>
      </w:rPr>
    </w:lvl>
    <w:lvl w:ilvl="3">
      <w:start w:val="0"/>
      <w:numFmt w:val="bullet"/>
      <w:lvlText w:val="•"/>
      <w:lvlJc w:val="left"/>
      <w:pPr>
        <w:ind w:left="2178" w:hanging="360"/>
      </w:pPr>
      <w:rPr>
        <w:rFonts w:hint="default"/>
        <w:lang w:val="en-au" w:eastAsia="en-au" w:bidi="en-au"/>
      </w:rPr>
    </w:lvl>
    <w:lvl w:ilvl="4">
      <w:start w:val="0"/>
      <w:numFmt w:val="bullet"/>
      <w:lvlText w:val="•"/>
      <w:lvlJc w:val="left"/>
      <w:pPr>
        <w:ind w:left="2764" w:hanging="360"/>
      </w:pPr>
      <w:rPr>
        <w:rFonts w:hint="default"/>
        <w:lang w:val="en-au" w:eastAsia="en-au" w:bidi="en-au"/>
      </w:rPr>
    </w:lvl>
    <w:lvl w:ilvl="5">
      <w:start w:val="0"/>
      <w:numFmt w:val="bullet"/>
      <w:lvlText w:val="•"/>
      <w:lvlJc w:val="left"/>
      <w:pPr>
        <w:ind w:left="3350" w:hanging="360"/>
      </w:pPr>
      <w:rPr>
        <w:rFonts w:hint="default"/>
        <w:lang w:val="en-au" w:eastAsia="en-au" w:bidi="en-au"/>
      </w:rPr>
    </w:lvl>
    <w:lvl w:ilvl="6">
      <w:start w:val="0"/>
      <w:numFmt w:val="bullet"/>
      <w:lvlText w:val="•"/>
      <w:lvlJc w:val="left"/>
      <w:pPr>
        <w:ind w:left="3936" w:hanging="360"/>
      </w:pPr>
      <w:rPr>
        <w:rFonts w:hint="default"/>
        <w:lang w:val="en-au" w:eastAsia="en-au" w:bidi="en-au"/>
      </w:rPr>
    </w:lvl>
    <w:lvl w:ilvl="7">
      <w:start w:val="0"/>
      <w:numFmt w:val="bullet"/>
      <w:lvlText w:val="•"/>
      <w:lvlJc w:val="left"/>
      <w:pPr>
        <w:ind w:left="4522" w:hanging="360"/>
      </w:pPr>
      <w:rPr>
        <w:rFonts w:hint="default"/>
        <w:lang w:val="en-au" w:eastAsia="en-au" w:bidi="en-au"/>
      </w:rPr>
    </w:lvl>
    <w:lvl w:ilvl="8">
      <w:start w:val="0"/>
      <w:numFmt w:val="bullet"/>
      <w:lvlText w:val="•"/>
      <w:lvlJc w:val="left"/>
      <w:pPr>
        <w:ind w:left="5108" w:hanging="360"/>
      </w:pPr>
      <w:rPr>
        <w:rFonts w:hint="default"/>
        <w:lang w:val="en-au" w:eastAsia="en-au" w:bidi="en-au"/>
      </w:rPr>
    </w:lvl>
  </w:abstractNum>
  <w:abstractNum w:abstractNumId="40">
    <w:multiLevelType w:val="hybridMultilevel"/>
    <w:lvl w:ilvl="0">
      <w:start w:val="0"/>
      <w:numFmt w:val="bullet"/>
      <w:lvlText w:val=""/>
      <w:lvlJc w:val="left"/>
      <w:pPr>
        <w:ind w:left="426" w:hanging="360"/>
      </w:pPr>
      <w:rPr>
        <w:rFonts w:hint="default" w:ascii="Symbol" w:hAnsi="Symbol" w:eastAsia="Symbol" w:cs="Symbol"/>
        <w:w w:val="100"/>
        <w:sz w:val="17"/>
        <w:szCs w:val="17"/>
        <w:lang w:val="en-au" w:eastAsia="en-au" w:bidi="en-au"/>
      </w:rPr>
    </w:lvl>
    <w:lvl w:ilvl="1">
      <w:start w:val="0"/>
      <w:numFmt w:val="bullet"/>
      <w:lvlText w:val="•"/>
      <w:lvlJc w:val="left"/>
      <w:pPr>
        <w:ind w:left="1006" w:hanging="360"/>
      </w:pPr>
      <w:rPr>
        <w:rFonts w:hint="default"/>
        <w:lang w:val="en-au" w:eastAsia="en-au" w:bidi="en-au"/>
      </w:rPr>
    </w:lvl>
    <w:lvl w:ilvl="2">
      <w:start w:val="0"/>
      <w:numFmt w:val="bullet"/>
      <w:lvlText w:val="•"/>
      <w:lvlJc w:val="left"/>
      <w:pPr>
        <w:ind w:left="1592" w:hanging="360"/>
      </w:pPr>
      <w:rPr>
        <w:rFonts w:hint="default"/>
        <w:lang w:val="en-au" w:eastAsia="en-au" w:bidi="en-au"/>
      </w:rPr>
    </w:lvl>
    <w:lvl w:ilvl="3">
      <w:start w:val="0"/>
      <w:numFmt w:val="bullet"/>
      <w:lvlText w:val="•"/>
      <w:lvlJc w:val="left"/>
      <w:pPr>
        <w:ind w:left="2178" w:hanging="360"/>
      </w:pPr>
      <w:rPr>
        <w:rFonts w:hint="default"/>
        <w:lang w:val="en-au" w:eastAsia="en-au" w:bidi="en-au"/>
      </w:rPr>
    </w:lvl>
    <w:lvl w:ilvl="4">
      <w:start w:val="0"/>
      <w:numFmt w:val="bullet"/>
      <w:lvlText w:val="•"/>
      <w:lvlJc w:val="left"/>
      <w:pPr>
        <w:ind w:left="2764" w:hanging="360"/>
      </w:pPr>
      <w:rPr>
        <w:rFonts w:hint="default"/>
        <w:lang w:val="en-au" w:eastAsia="en-au" w:bidi="en-au"/>
      </w:rPr>
    </w:lvl>
    <w:lvl w:ilvl="5">
      <w:start w:val="0"/>
      <w:numFmt w:val="bullet"/>
      <w:lvlText w:val="•"/>
      <w:lvlJc w:val="left"/>
      <w:pPr>
        <w:ind w:left="3350" w:hanging="360"/>
      </w:pPr>
      <w:rPr>
        <w:rFonts w:hint="default"/>
        <w:lang w:val="en-au" w:eastAsia="en-au" w:bidi="en-au"/>
      </w:rPr>
    </w:lvl>
    <w:lvl w:ilvl="6">
      <w:start w:val="0"/>
      <w:numFmt w:val="bullet"/>
      <w:lvlText w:val="•"/>
      <w:lvlJc w:val="left"/>
      <w:pPr>
        <w:ind w:left="3936" w:hanging="360"/>
      </w:pPr>
      <w:rPr>
        <w:rFonts w:hint="default"/>
        <w:lang w:val="en-au" w:eastAsia="en-au" w:bidi="en-au"/>
      </w:rPr>
    </w:lvl>
    <w:lvl w:ilvl="7">
      <w:start w:val="0"/>
      <w:numFmt w:val="bullet"/>
      <w:lvlText w:val="•"/>
      <w:lvlJc w:val="left"/>
      <w:pPr>
        <w:ind w:left="4522" w:hanging="360"/>
      </w:pPr>
      <w:rPr>
        <w:rFonts w:hint="default"/>
        <w:lang w:val="en-au" w:eastAsia="en-au" w:bidi="en-au"/>
      </w:rPr>
    </w:lvl>
    <w:lvl w:ilvl="8">
      <w:start w:val="0"/>
      <w:numFmt w:val="bullet"/>
      <w:lvlText w:val="•"/>
      <w:lvlJc w:val="left"/>
      <w:pPr>
        <w:ind w:left="5108" w:hanging="360"/>
      </w:pPr>
      <w:rPr>
        <w:rFonts w:hint="default"/>
        <w:lang w:val="en-au" w:eastAsia="en-au" w:bidi="en-au"/>
      </w:rPr>
    </w:lvl>
  </w:abstractNum>
  <w:abstractNum w:abstractNumId="39">
    <w:multiLevelType w:val="hybridMultilevel"/>
    <w:lvl w:ilvl="0">
      <w:start w:val="0"/>
      <w:numFmt w:val="bullet"/>
      <w:lvlText w:val=""/>
      <w:lvlJc w:val="left"/>
      <w:pPr>
        <w:ind w:left="405" w:hanging="360"/>
      </w:pPr>
      <w:rPr>
        <w:rFonts w:hint="default" w:ascii="Symbol" w:hAnsi="Symbol" w:eastAsia="Symbol" w:cs="Symbol"/>
        <w:w w:val="100"/>
        <w:sz w:val="17"/>
        <w:szCs w:val="17"/>
        <w:lang w:val="en-au" w:eastAsia="en-au" w:bidi="en-au"/>
      </w:rPr>
    </w:lvl>
    <w:lvl w:ilvl="1">
      <w:start w:val="0"/>
      <w:numFmt w:val="bullet"/>
      <w:lvlText w:val="•"/>
      <w:lvlJc w:val="left"/>
      <w:pPr>
        <w:ind w:left="986" w:hanging="360"/>
      </w:pPr>
      <w:rPr>
        <w:rFonts w:hint="default"/>
        <w:lang w:val="en-au" w:eastAsia="en-au" w:bidi="en-au"/>
      </w:rPr>
    </w:lvl>
    <w:lvl w:ilvl="2">
      <w:start w:val="0"/>
      <w:numFmt w:val="bullet"/>
      <w:lvlText w:val="•"/>
      <w:lvlJc w:val="left"/>
      <w:pPr>
        <w:ind w:left="1572" w:hanging="360"/>
      </w:pPr>
      <w:rPr>
        <w:rFonts w:hint="default"/>
        <w:lang w:val="en-au" w:eastAsia="en-au" w:bidi="en-au"/>
      </w:rPr>
    </w:lvl>
    <w:lvl w:ilvl="3">
      <w:start w:val="0"/>
      <w:numFmt w:val="bullet"/>
      <w:lvlText w:val="•"/>
      <w:lvlJc w:val="left"/>
      <w:pPr>
        <w:ind w:left="2158" w:hanging="360"/>
      </w:pPr>
      <w:rPr>
        <w:rFonts w:hint="default"/>
        <w:lang w:val="en-au" w:eastAsia="en-au" w:bidi="en-au"/>
      </w:rPr>
    </w:lvl>
    <w:lvl w:ilvl="4">
      <w:start w:val="0"/>
      <w:numFmt w:val="bullet"/>
      <w:lvlText w:val="•"/>
      <w:lvlJc w:val="left"/>
      <w:pPr>
        <w:ind w:left="2744" w:hanging="360"/>
      </w:pPr>
      <w:rPr>
        <w:rFonts w:hint="default"/>
        <w:lang w:val="en-au" w:eastAsia="en-au" w:bidi="en-au"/>
      </w:rPr>
    </w:lvl>
    <w:lvl w:ilvl="5">
      <w:start w:val="0"/>
      <w:numFmt w:val="bullet"/>
      <w:lvlText w:val="•"/>
      <w:lvlJc w:val="left"/>
      <w:pPr>
        <w:ind w:left="3330" w:hanging="360"/>
      </w:pPr>
      <w:rPr>
        <w:rFonts w:hint="default"/>
        <w:lang w:val="en-au" w:eastAsia="en-au" w:bidi="en-au"/>
      </w:rPr>
    </w:lvl>
    <w:lvl w:ilvl="6">
      <w:start w:val="0"/>
      <w:numFmt w:val="bullet"/>
      <w:lvlText w:val="•"/>
      <w:lvlJc w:val="left"/>
      <w:pPr>
        <w:ind w:left="3916" w:hanging="360"/>
      </w:pPr>
      <w:rPr>
        <w:rFonts w:hint="default"/>
        <w:lang w:val="en-au" w:eastAsia="en-au" w:bidi="en-au"/>
      </w:rPr>
    </w:lvl>
    <w:lvl w:ilvl="7">
      <w:start w:val="0"/>
      <w:numFmt w:val="bullet"/>
      <w:lvlText w:val="•"/>
      <w:lvlJc w:val="left"/>
      <w:pPr>
        <w:ind w:left="4502" w:hanging="360"/>
      </w:pPr>
      <w:rPr>
        <w:rFonts w:hint="default"/>
        <w:lang w:val="en-au" w:eastAsia="en-au" w:bidi="en-au"/>
      </w:rPr>
    </w:lvl>
    <w:lvl w:ilvl="8">
      <w:start w:val="0"/>
      <w:numFmt w:val="bullet"/>
      <w:lvlText w:val="•"/>
      <w:lvlJc w:val="left"/>
      <w:pPr>
        <w:ind w:left="5088" w:hanging="360"/>
      </w:pPr>
      <w:rPr>
        <w:rFonts w:hint="default"/>
        <w:lang w:val="en-au" w:eastAsia="en-au" w:bidi="en-au"/>
      </w:rPr>
    </w:lvl>
  </w:abstractNum>
  <w:abstractNum w:abstractNumId="38">
    <w:multiLevelType w:val="hybridMultilevel"/>
    <w:lvl w:ilvl="0">
      <w:start w:val="0"/>
      <w:numFmt w:val="bullet"/>
      <w:lvlText w:val=""/>
      <w:lvlJc w:val="left"/>
      <w:pPr>
        <w:ind w:left="405" w:hanging="360"/>
      </w:pPr>
      <w:rPr>
        <w:rFonts w:hint="default" w:ascii="Symbol" w:hAnsi="Symbol" w:eastAsia="Symbol" w:cs="Symbol"/>
        <w:w w:val="100"/>
        <w:sz w:val="17"/>
        <w:szCs w:val="17"/>
        <w:lang w:val="en-au" w:eastAsia="en-au" w:bidi="en-au"/>
      </w:rPr>
    </w:lvl>
    <w:lvl w:ilvl="1">
      <w:start w:val="0"/>
      <w:numFmt w:val="bullet"/>
      <w:lvlText w:val="•"/>
      <w:lvlJc w:val="left"/>
      <w:pPr>
        <w:ind w:left="986" w:hanging="360"/>
      </w:pPr>
      <w:rPr>
        <w:rFonts w:hint="default"/>
        <w:lang w:val="en-au" w:eastAsia="en-au" w:bidi="en-au"/>
      </w:rPr>
    </w:lvl>
    <w:lvl w:ilvl="2">
      <w:start w:val="0"/>
      <w:numFmt w:val="bullet"/>
      <w:lvlText w:val="•"/>
      <w:lvlJc w:val="left"/>
      <w:pPr>
        <w:ind w:left="1572" w:hanging="360"/>
      </w:pPr>
      <w:rPr>
        <w:rFonts w:hint="default"/>
        <w:lang w:val="en-au" w:eastAsia="en-au" w:bidi="en-au"/>
      </w:rPr>
    </w:lvl>
    <w:lvl w:ilvl="3">
      <w:start w:val="0"/>
      <w:numFmt w:val="bullet"/>
      <w:lvlText w:val="•"/>
      <w:lvlJc w:val="left"/>
      <w:pPr>
        <w:ind w:left="2158" w:hanging="360"/>
      </w:pPr>
      <w:rPr>
        <w:rFonts w:hint="default"/>
        <w:lang w:val="en-au" w:eastAsia="en-au" w:bidi="en-au"/>
      </w:rPr>
    </w:lvl>
    <w:lvl w:ilvl="4">
      <w:start w:val="0"/>
      <w:numFmt w:val="bullet"/>
      <w:lvlText w:val="•"/>
      <w:lvlJc w:val="left"/>
      <w:pPr>
        <w:ind w:left="2744" w:hanging="360"/>
      </w:pPr>
      <w:rPr>
        <w:rFonts w:hint="default"/>
        <w:lang w:val="en-au" w:eastAsia="en-au" w:bidi="en-au"/>
      </w:rPr>
    </w:lvl>
    <w:lvl w:ilvl="5">
      <w:start w:val="0"/>
      <w:numFmt w:val="bullet"/>
      <w:lvlText w:val="•"/>
      <w:lvlJc w:val="left"/>
      <w:pPr>
        <w:ind w:left="3330" w:hanging="360"/>
      </w:pPr>
      <w:rPr>
        <w:rFonts w:hint="default"/>
        <w:lang w:val="en-au" w:eastAsia="en-au" w:bidi="en-au"/>
      </w:rPr>
    </w:lvl>
    <w:lvl w:ilvl="6">
      <w:start w:val="0"/>
      <w:numFmt w:val="bullet"/>
      <w:lvlText w:val="•"/>
      <w:lvlJc w:val="left"/>
      <w:pPr>
        <w:ind w:left="3916" w:hanging="360"/>
      </w:pPr>
      <w:rPr>
        <w:rFonts w:hint="default"/>
        <w:lang w:val="en-au" w:eastAsia="en-au" w:bidi="en-au"/>
      </w:rPr>
    </w:lvl>
    <w:lvl w:ilvl="7">
      <w:start w:val="0"/>
      <w:numFmt w:val="bullet"/>
      <w:lvlText w:val="•"/>
      <w:lvlJc w:val="left"/>
      <w:pPr>
        <w:ind w:left="4502" w:hanging="360"/>
      </w:pPr>
      <w:rPr>
        <w:rFonts w:hint="default"/>
        <w:lang w:val="en-au" w:eastAsia="en-au" w:bidi="en-au"/>
      </w:rPr>
    </w:lvl>
    <w:lvl w:ilvl="8">
      <w:start w:val="0"/>
      <w:numFmt w:val="bullet"/>
      <w:lvlText w:val="•"/>
      <w:lvlJc w:val="left"/>
      <w:pPr>
        <w:ind w:left="5088" w:hanging="360"/>
      </w:pPr>
      <w:rPr>
        <w:rFonts w:hint="default"/>
        <w:lang w:val="en-au" w:eastAsia="en-au" w:bidi="en-au"/>
      </w:rPr>
    </w:lvl>
  </w:abstractNum>
  <w:abstractNum w:abstractNumId="37">
    <w:multiLevelType w:val="hybridMultilevel"/>
    <w:lvl w:ilvl="0">
      <w:start w:val="0"/>
      <w:numFmt w:val="bullet"/>
      <w:lvlText w:val=""/>
      <w:lvlJc w:val="left"/>
      <w:pPr>
        <w:ind w:left="405" w:hanging="360"/>
      </w:pPr>
      <w:rPr>
        <w:rFonts w:hint="default" w:ascii="Symbol" w:hAnsi="Symbol" w:eastAsia="Symbol" w:cs="Symbol"/>
        <w:w w:val="100"/>
        <w:sz w:val="17"/>
        <w:szCs w:val="17"/>
        <w:lang w:val="en-au" w:eastAsia="en-au" w:bidi="en-au"/>
      </w:rPr>
    </w:lvl>
    <w:lvl w:ilvl="1">
      <w:start w:val="0"/>
      <w:numFmt w:val="bullet"/>
      <w:lvlText w:val="•"/>
      <w:lvlJc w:val="left"/>
      <w:pPr>
        <w:ind w:left="986" w:hanging="360"/>
      </w:pPr>
      <w:rPr>
        <w:rFonts w:hint="default"/>
        <w:lang w:val="en-au" w:eastAsia="en-au" w:bidi="en-au"/>
      </w:rPr>
    </w:lvl>
    <w:lvl w:ilvl="2">
      <w:start w:val="0"/>
      <w:numFmt w:val="bullet"/>
      <w:lvlText w:val="•"/>
      <w:lvlJc w:val="left"/>
      <w:pPr>
        <w:ind w:left="1572" w:hanging="360"/>
      </w:pPr>
      <w:rPr>
        <w:rFonts w:hint="default"/>
        <w:lang w:val="en-au" w:eastAsia="en-au" w:bidi="en-au"/>
      </w:rPr>
    </w:lvl>
    <w:lvl w:ilvl="3">
      <w:start w:val="0"/>
      <w:numFmt w:val="bullet"/>
      <w:lvlText w:val="•"/>
      <w:lvlJc w:val="left"/>
      <w:pPr>
        <w:ind w:left="2158" w:hanging="360"/>
      </w:pPr>
      <w:rPr>
        <w:rFonts w:hint="default"/>
        <w:lang w:val="en-au" w:eastAsia="en-au" w:bidi="en-au"/>
      </w:rPr>
    </w:lvl>
    <w:lvl w:ilvl="4">
      <w:start w:val="0"/>
      <w:numFmt w:val="bullet"/>
      <w:lvlText w:val="•"/>
      <w:lvlJc w:val="left"/>
      <w:pPr>
        <w:ind w:left="2744" w:hanging="360"/>
      </w:pPr>
      <w:rPr>
        <w:rFonts w:hint="default"/>
        <w:lang w:val="en-au" w:eastAsia="en-au" w:bidi="en-au"/>
      </w:rPr>
    </w:lvl>
    <w:lvl w:ilvl="5">
      <w:start w:val="0"/>
      <w:numFmt w:val="bullet"/>
      <w:lvlText w:val="•"/>
      <w:lvlJc w:val="left"/>
      <w:pPr>
        <w:ind w:left="3330" w:hanging="360"/>
      </w:pPr>
      <w:rPr>
        <w:rFonts w:hint="default"/>
        <w:lang w:val="en-au" w:eastAsia="en-au" w:bidi="en-au"/>
      </w:rPr>
    </w:lvl>
    <w:lvl w:ilvl="6">
      <w:start w:val="0"/>
      <w:numFmt w:val="bullet"/>
      <w:lvlText w:val="•"/>
      <w:lvlJc w:val="left"/>
      <w:pPr>
        <w:ind w:left="3916" w:hanging="360"/>
      </w:pPr>
      <w:rPr>
        <w:rFonts w:hint="default"/>
        <w:lang w:val="en-au" w:eastAsia="en-au" w:bidi="en-au"/>
      </w:rPr>
    </w:lvl>
    <w:lvl w:ilvl="7">
      <w:start w:val="0"/>
      <w:numFmt w:val="bullet"/>
      <w:lvlText w:val="•"/>
      <w:lvlJc w:val="left"/>
      <w:pPr>
        <w:ind w:left="4502" w:hanging="360"/>
      </w:pPr>
      <w:rPr>
        <w:rFonts w:hint="default"/>
        <w:lang w:val="en-au" w:eastAsia="en-au" w:bidi="en-au"/>
      </w:rPr>
    </w:lvl>
    <w:lvl w:ilvl="8">
      <w:start w:val="0"/>
      <w:numFmt w:val="bullet"/>
      <w:lvlText w:val="•"/>
      <w:lvlJc w:val="left"/>
      <w:pPr>
        <w:ind w:left="5088" w:hanging="360"/>
      </w:pPr>
      <w:rPr>
        <w:rFonts w:hint="default"/>
        <w:lang w:val="en-au" w:eastAsia="en-au" w:bidi="en-au"/>
      </w:rPr>
    </w:lvl>
  </w:abstractNum>
  <w:abstractNum w:abstractNumId="36">
    <w:multiLevelType w:val="hybridMultilevel"/>
    <w:lvl w:ilvl="0">
      <w:start w:val="1"/>
      <w:numFmt w:val="decimal"/>
      <w:lvlText w:val="%1."/>
      <w:lvlJc w:val="left"/>
      <w:pPr>
        <w:ind w:left="660" w:hanging="360"/>
        <w:jc w:val="left"/>
      </w:pPr>
      <w:rPr>
        <w:rFonts w:hint="default" w:ascii="Verdana" w:hAnsi="Verdana" w:eastAsia="Verdana" w:cs="Verdana"/>
        <w:b/>
        <w:bCs/>
        <w:spacing w:val="-17"/>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35">
    <w:multiLevelType w:val="hybridMultilevel"/>
    <w:lvl w:ilvl="0">
      <w:start w:val="1"/>
      <w:numFmt w:val="decimal"/>
      <w:lvlText w:val="%1."/>
      <w:lvlJc w:val="left"/>
      <w:pPr>
        <w:ind w:left="660" w:hanging="360"/>
        <w:jc w:val="left"/>
      </w:pPr>
      <w:rPr>
        <w:rFonts w:hint="default" w:ascii="Verdana" w:hAnsi="Verdana" w:eastAsia="Verdana" w:cs="Verdana"/>
        <w:b/>
        <w:bCs/>
        <w:spacing w:val="-17"/>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34">
    <w:multiLevelType w:val="hybridMultilevel"/>
    <w:lvl w:ilvl="0">
      <w:start w:val="1"/>
      <w:numFmt w:val="decimal"/>
      <w:lvlText w:val="%1."/>
      <w:lvlJc w:val="left"/>
      <w:pPr>
        <w:ind w:left="396" w:hanging="360"/>
        <w:jc w:val="left"/>
      </w:pPr>
      <w:rPr>
        <w:rFonts w:hint="default" w:ascii="Verdana" w:hAnsi="Verdana" w:eastAsia="Verdana" w:cs="Verdana"/>
        <w:spacing w:val="-1"/>
        <w:w w:val="100"/>
        <w:sz w:val="17"/>
        <w:szCs w:val="17"/>
        <w:lang w:val="en-au" w:eastAsia="en-au" w:bidi="en-au"/>
      </w:rPr>
    </w:lvl>
    <w:lvl w:ilvl="1">
      <w:start w:val="0"/>
      <w:numFmt w:val="bullet"/>
      <w:lvlText w:val="•"/>
      <w:lvlJc w:val="left"/>
      <w:pPr>
        <w:ind w:left="1282" w:hanging="360"/>
      </w:pPr>
      <w:rPr>
        <w:rFonts w:hint="default"/>
        <w:lang w:val="en-au" w:eastAsia="en-au" w:bidi="en-au"/>
      </w:rPr>
    </w:lvl>
    <w:lvl w:ilvl="2">
      <w:start w:val="0"/>
      <w:numFmt w:val="bullet"/>
      <w:lvlText w:val="•"/>
      <w:lvlJc w:val="left"/>
      <w:pPr>
        <w:ind w:left="2164" w:hanging="360"/>
      </w:pPr>
      <w:rPr>
        <w:rFonts w:hint="default"/>
        <w:lang w:val="en-au" w:eastAsia="en-au" w:bidi="en-au"/>
      </w:rPr>
    </w:lvl>
    <w:lvl w:ilvl="3">
      <w:start w:val="0"/>
      <w:numFmt w:val="bullet"/>
      <w:lvlText w:val="•"/>
      <w:lvlJc w:val="left"/>
      <w:pPr>
        <w:ind w:left="3046" w:hanging="360"/>
      </w:pPr>
      <w:rPr>
        <w:rFonts w:hint="default"/>
        <w:lang w:val="en-au" w:eastAsia="en-au" w:bidi="en-au"/>
      </w:rPr>
    </w:lvl>
    <w:lvl w:ilvl="4">
      <w:start w:val="0"/>
      <w:numFmt w:val="bullet"/>
      <w:lvlText w:val="•"/>
      <w:lvlJc w:val="left"/>
      <w:pPr>
        <w:ind w:left="3928" w:hanging="360"/>
      </w:pPr>
      <w:rPr>
        <w:rFonts w:hint="default"/>
        <w:lang w:val="en-au" w:eastAsia="en-au" w:bidi="en-au"/>
      </w:rPr>
    </w:lvl>
    <w:lvl w:ilvl="5">
      <w:start w:val="0"/>
      <w:numFmt w:val="bullet"/>
      <w:lvlText w:val="•"/>
      <w:lvlJc w:val="left"/>
      <w:pPr>
        <w:ind w:left="4811" w:hanging="360"/>
      </w:pPr>
      <w:rPr>
        <w:rFonts w:hint="default"/>
        <w:lang w:val="en-au" w:eastAsia="en-au" w:bidi="en-au"/>
      </w:rPr>
    </w:lvl>
    <w:lvl w:ilvl="6">
      <w:start w:val="0"/>
      <w:numFmt w:val="bullet"/>
      <w:lvlText w:val="•"/>
      <w:lvlJc w:val="left"/>
      <w:pPr>
        <w:ind w:left="5693" w:hanging="360"/>
      </w:pPr>
      <w:rPr>
        <w:rFonts w:hint="default"/>
        <w:lang w:val="en-au" w:eastAsia="en-au" w:bidi="en-au"/>
      </w:rPr>
    </w:lvl>
    <w:lvl w:ilvl="7">
      <w:start w:val="0"/>
      <w:numFmt w:val="bullet"/>
      <w:lvlText w:val="•"/>
      <w:lvlJc w:val="left"/>
      <w:pPr>
        <w:ind w:left="6575" w:hanging="360"/>
      </w:pPr>
      <w:rPr>
        <w:rFonts w:hint="default"/>
        <w:lang w:val="en-au" w:eastAsia="en-au" w:bidi="en-au"/>
      </w:rPr>
    </w:lvl>
    <w:lvl w:ilvl="8">
      <w:start w:val="0"/>
      <w:numFmt w:val="bullet"/>
      <w:lvlText w:val="•"/>
      <w:lvlJc w:val="left"/>
      <w:pPr>
        <w:ind w:left="7457" w:hanging="360"/>
      </w:pPr>
      <w:rPr>
        <w:rFonts w:hint="default"/>
        <w:lang w:val="en-au" w:eastAsia="en-au" w:bidi="en-au"/>
      </w:rPr>
    </w:lvl>
  </w:abstractNum>
  <w:abstractNum w:abstractNumId="33">
    <w:multiLevelType w:val="hybridMultilevel"/>
    <w:lvl w:ilvl="0">
      <w:start w:val="17"/>
      <w:numFmt w:val="decimal"/>
      <w:lvlText w:val="%1."/>
      <w:lvlJc w:val="left"/>
      <w:pPr>
        <w:ind w:left="660" w:hanging="360"/>
        <w:jc w:val="left"/>
      </w:pPr>
      <w:rPr>
        <w:rFonts w:hint="default" w:ascii="Verdana" w:hAnsi="Verdana" w:eastAsia="Verdana" w:cs="Verdana"/>
        <w:spacing w:val="-3"/>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32">
    <w:multiLevelType w:val="hybridMultilevel"/>
    <w:lvl w:ilvl="0">
      <w:start w:val="0"/>
      <w:numFmt w:val="bullet"/>
      <w:lvlText w:val=""/>
      <w:lvlJc w:val="left"/>
      <w:pPr>
        <w:ind w:left="528" w:hanging="360"/>
      </w:pPr>
      <w:rPr>
        <w:rFonts w:hint="default" w:ascii="Symbol" w:hAnsi="Symbol" w:eastAsia="Symbol" w:cs="Symbol"/>
        <w:w w:val="100"/>
        <w:sz w:val="18"/>
        <w:szCs w:val="18"/>
        <w:lang w:val="en-au" w:eastAsia="en-au" w:bidi="en-au"/>
      </w:rPr>
    </w:lvl>
    <w:lvl w:ilvl="1">
      <w:start w:val="0"/>
      <w:numFmt w:val="bullet"/>
      <w:lvlText w:val=""/>
      <w:lvlJc w:val="left"/>
      <w:pPr>
        <w:ind w:left="660" w:hanging="360"/>
      </w:pPr>
      <w:rPr>
        <w:rFonts w:hint="default" w:ascii="Symbol" w:hAnsi="Symbol" w:eastAsia="Symbol" w:cs="Symbol"/>
        <w:w w:val="100"/>
        <w:sz w:val="18"/>
        <w:szCs w:val="18"/>
        <w:lang w:val="en-au" w:eastAsia="en-au" w:bidi="en-au"/>
      </w:rPr>
    </w:lvl>
    <w:lvl w:ilvl="2">
      <w:start w:val="0"/>
      <w:numFmt w:val="bullet"/>
      <w:lvlText w:val="•"/>
      <w:lvlJc w:val="left"/>
      <w:pPr>
        <w:ind w:left="1705" w:hanging="360"/>
      </w:pPr>
      <w:rPr>
        <w:rFonts w:hint="default"/>
        <w:lang w:val="en-au" w:eastAsia="en-au" w:bidi="en-au"/>
      </w:rPr>
    </w:lvl>
    <w:lvl w:ilvl="3">
      <w:start w:val="0"/>
      <w:numFmt w:val="bullet"/>
      <w:lvlText w:val="•"/>
      <w:lvlJc w:val="left"/>
      <w:pPr>
        <w:ind w:left="2750" w:hanging="360"/>
      </w:pPr>
      <w:rPr>
        <w:rFonts w:hint="default"/>
        <w:lang w:val="en-au" w:eastAsia="en-au" w:bidi="en-au"/>
      </w:rPr>
    </w:lvl>
    <w:lvl w:ilvl="4">
      <w:start w:val="0"/>
      <w:numFmt w:val="bullet"/>
      <w:lvlText w:val="•"/>
      <w:lvlJc w:val="left"/>
      <w:pPr>
        <w:ind w:left="3795" w:hanging="360"/>
      </w:pPr>
      <w:rPr>
        <w:rFonts w:hint="default"/>
        <w:lang w:val="en-au" w:eastAsia="en-au" w:bidi="en-au"/>
      </w:rPr>
    </w:lvl>
    <w:lvl w:ilvl="5">
      <w:start w:val="0"/>
      <w:numFmt w:val="bullet"/>
      <w:lvlText w:val="•"/>
      <w:lvlJc w:val="left"/>
      <w:pPr>
        <w:ind w:left="4840" w:hanging="360"/>
      </w:pPr>
      <w:rPr>
        <w:rFonts w:hint="default"/>
        <w:lang w:val="en-au" w:eastAsia="en-au" w:bidi="en-au"/>
      </w:rPr>
    </w:lvl>
    <w:lvl w:ilvl="6">
      <w:start w:val="0"/>
      <w:numFmt w:val="bullet"/>
      <w:lvlText w:val="•"/>
      <w:lvlJc w:val="left"/>
      <w:pPr>
        <w:ind w:left="5885" w:hanging="360"/>
      </w:pPr>
      <w:rPr>
        <w:rFonts w:hint="default"/>
        <w:lang w:val="en-au" w:eastAsia="en-au" w:bidi="en-au"/>
      </w:rPr>
    </w:lvl>
    <w:lvl w:ilvl="7">
      <w:start w:val="0"/>
      <w:numFmt w:val="bullet"/>
      <w:lvlText w:val="•"/>
      <w:lvlJc w:val="left"/>
      <w:pPr>
        <w:ind w:left="6930" w:hanging="360"/>
      </w:pPr>
      <w:rPr>
        <w:rFonts w:hint="default"/>
        <w:lang w:val="en-au" w:eastAsia="en-au" w:bidi="en-au"/>
      </w:rPr>
    </w:lvl>
    <w:lvl w:ilvl="8">
      <w:start w:val="0"/>
      <w:numFmt w:val="bullet"/>
      <w:lvlText w:val="•"/>
      <w:lvlJc w:val="left"/>
      <w:pPr>
        <w:ind w:left="7976" w:hanging="360"/>
      </w:pPr>
      <w:rPr>
        <w:rFonts w:hint="default"/>
        <w:lang w:val="en-au" w:eastAsia="en-au" w:bidi="en-au"/>
      </w:rPr>
    </w:lvl>
  </w:abstractNum>
  <w:abstractNum w:abstractNumId="31">
    <w:multiLevelType w:val="hybridMultilevel"/>
    <w:lvl w:ilvl="0">
      <w:start w:val="4"/>
      <w:numFmt w:val="decimal"/>
      <w:lvlText w:val="%1"/>
      <w:lvlJc w:val="left"/>
      <w:pPr>
        <w:ind w:left="1094" w:hanging="795"/>
        <w:jc w:val="left"/>
      </w:pPr>
      <w:rPr>
        <w:rFonts w:hint="default"/>
        <w:lang w:val="en-au" w:eastAsia="en-au" w:bidi="en-au"/>
      </w:rPr>
    </w:lvl>
    <w:lvl w:ilvl="1">
      <w:start w:val="1"/>
      <w:numFmt w:val="decimal"/>
      <w:lvlText w:val="%1.%2"/>
      <w:lvlJc w:val="left"/>
      <w:pPr>
        <w:ind w:left="1094" w:hanging="795"/>
        <w:jc w:val="left"/>
      </w:pPr>
      <w:rPr>
        <w:rFonts w:hint="default" w:ascii="Verdana" w:hAnsi="Verdana" w:eastAsia="Verdana" w:cs="Verdana"/>
        <w:b/>
        <w:bCs/>
        <w:color w:val="61B5E4"/>
        <w:spacing w:val="-1"/>
        <w:w w:val="100"/>
        <w:sz w:val="22"/>
        <w:szCs w:val="22"/>
        <w:lang w:val="en-au" w:eastAsia="en-au" w:bidi="en-au"/>
      </w:rPr>
    </w:lvl>
    <w:lvl w:ilvl="2">
      <w:start w:val="1"/>
      <w:numFmt w:val="decimal"/>
      <w:lvlText w:val="%1.%2.%3"/>
      <w:lvlJc w:val="left"/>
      <w:pPr>
        <w:ind w:left="1320" w:hanging="1020"/>
        <w:jc w:val="left"/>
      </w:pPr>
      <w:rPr>
        <w:rFonts w:hint="default" w:ascii="Verdana" w:hAnsi="Verdana" w:eastAsia="Verdana" w:cs="Verdana"/>
        <w:b/>
        <w:bCs/>
        <w:spacing w:val="-2"/>
        <w:w w:val="100"/>
        <w:sz w:val="18"/>
        <w:szCs w:val="18"/>
        <w:lang w:val="en-au" w:eastAsia="en-au" w:bidi="en-au"/>
      </w:rPr>
    </w:lvl>
    <w:lvl w:ilvl="3">
      <w:start w:val="0"/>
      <w:numFmt w:val="bullet"/>
      <w:lvlText w:val="•"/>
      <w:lvlJc w:val="left"/>
      <w:pPr>
        <w:ind w:left="3263" w:hanging="1020"/>
      </w:pPr>
      <w:rPr>
        <w:rFonts w:hint="default"/>
        <w:lang w:val="en-au" w:eastAsia="en-au" w:bidi="en-au"/>
      </w:rPr>
    </w:lvl>
    <w:lvl w:ilvl="4">
      <w:start w:val="0"/>
      <w:numFmt w:val="bullet"/>
      <w:lvlText w:val="•"/>
      <w:lvlJc w:val="left"/>
      <w:pPr>
        <w:ind w:left="4235" w:hanging="1020"/>
      </w:pPr>
      <w:rPr>
        <w:rFonts w:hint="default"/>
        <w:lang w:val="en-au" w:eastAsia="en-au" w:bidi="en-au"/>
      </w:rPr>
    </w:lvl>
    <w:lvl w:ilvl="5">
      <w:start w:val="0"/>
      <w:numFmt w:val="bullet"/>
      <w:lvlText w:val="•"/>
      <w:lvlJc w:val="left"/>
      <w:pPr>
        <w:ind w:left="5207" w:hanging="1020"/>
      </w:pPr>
      <w:rPr>
        <w:rFonts w:hint="default"/>
        <w:lang w:val="en-au" w:eastAsia="en-au" w:bidi="en-au"/>
      </w:rPr>
    </w:lvl>
    <w:lvl w:ilvl="6">
      <w:start w:val="0"/>
      <w:numFmt w:val="bullet"/>
      <w:lvlText w:val="•"/>
      <w:lvlJc w:val="left"/>
      <w:pPr>
        <w:ind w:left="6179" w:hanging="1020"/>
      </w:pPr>
      <w:rPr>
        <w:rFonts w:hint="default"/>
        <w:lang w:val="en-au" w:eastAsia="en-au" w:bidi="en-au"/>
      </w:rPr>
    </w:lvl>
    <w:lvl w:ilvl="7">
      <w:start w:val="0"/>
      <w:numFmt w:val="bullet"/>
      <w:lvlText w:val="•"/>
      <w:lvlJc w:val="left"/>
      <w:pPr>
        <w:ind w:left="7150" w:hanging="1020"/>
      </w:pPr>
      <w:rPr>
        <w:rFonts w:hint="default"/>
        <w:lang w:val="en-au" w:eastAsia="en-au" w:bidi="en-au"/>
      </w:rPr>
    </w:lvl>
    <w:lvl w:ilvl="8">
      <w:start w:val="0"/>
      <w:numFmt w:val="bullet"/>
      <w:lvlText w:val="•"/>
      <w:lvlJc w:val="left"/>
      <w:pPr>
        <w:ind w:left="8122" w:hanging="1020"/>
      </w:pPr>
      <w:rPr>
        <w:rFonts w:hint="default"/>
        <w:lang w:val="en-au" w:eastAsia="en-au" w:bidi="en-au"/>
      </w:rPr>
    </w:lvl>
  </w:abstractNum>
  <w:abstractNum w:abstractNumId="30">
    <w:multiLevelType w:val="hybridMultilevel"/>
    <w:lvl w:ilvl="0">
      <w:start w:val="13"/>
      <w:numFmt w:val="decimal"/>
      <w:lvlText w:val="%1."/>
      <w:lvlJc w:val="left"/>
      <w:pPr>
        <w:ind w:left="360" w:hanging="360"/>
        <w:jc w:val="left"/>
      </w:pPr>
      <w:rPr>
        <w:rFonts w:hint="default" w:ascii="Verdana" w:hAnsi="Verdana" w:eastAsia="Verdana" w:cs="Verdana"/>
        <w:spacing w:val="-3"/>
        <w:w w:val="100"/>
        <w:sz w:val="18"/>
        <w:szCs w:val="18"/>
        <w:lang w:val="en-au" w:eastAsia="en-au" w:bidi="en-au"/>
      </w:rPr>
    </w:lvl>
    <w:lvl w:ilvl="1">
      <w:start w:val="0"/>
      <w:numFmt w:val="bullet"/>
      <w:lvlText w:val="•"/>
      <w:lvlJc w:val="left"/>
      <w:pPr>
        <w:ind w:left="1234" w:hanging="360"/>
      </w:pPr>
      <w:rPr>
        <w:rFonts w:hint="default"/>
        <w:lang w:val="en-au" w:eastAsia="en-au" w:bidi="en-au"/>
      </w:rPr>
    </w:lvl>
    <w:lvl w:ilvl="2">
      <w:start w:val="0"/>
      <w:numFmt w:val="bullet"/>
      <w:lvlText w:val="•"/>
      <w:lvlJc w:val="left"/>
      <w:pPr>
        <w:ind w:left="2108" w:hanging="360"/>
      </w:pPr>
      <w:rPr>
        <w:rFonts w:hint="default"/>
        <w:lang w:val="en-au" w:eastAsia="en-au" w:bidi="en-au"/>
      </w:rPr>
    </w:lvl>
    <w:lvl w:ilvl="3">
      <w:start w:val="0"/>
      <w:numFmt w:val="bullet"/>
      <w:lvlText w:val="•"/>
      <w:lvlJc w:val="left"/>
      <w:pPr>
        <w:ind w:left="2982" w:hanging="360"/>
      </w:pPr>
      <w:rPr>
        <w:rFonts w:hint="default"/>
        <w:lang w:val="en-au" w:eastAsia="en-au" w:bidi="en-au"/>
      </w:rPr>
    </w:lvl>
    <w:lvl w:ilvl="4">
      <w:start w:val="0"/>
      <w:numFmt w:val="bullet"/>
      <w:lvlText w:val="•"/>
      <w:lvlJc w:val="left"/>
      <w:pPr>
        <w:ind w:left="3856" w:hanging="360"/>
      </w:pPr>
      <w:rPr>
        <w:rFonts w:hint="default"/>
        <w:lang w:val="en-au" w:eastAsia="en-au" w:bidi="en-au"/>
      </w:rPr>
    </w:lvl>
    <w:lvl w:ilvl="5">
      <w:start w:val="0"/>
      <w:numFmt w:val="bullet"/>
      <w:lvlText w:val="•"/>
      <w:lvlJc w:val="left"/>
      <w:pPr>
        <w:ind w:left="4731" w:hanging="360"/>
      </w:pPr>
      <w:rPr>
        <w:rFonts w:hint="default"/>
        <w:lang w:val="en-au" w:eastAsia="en-au" w:bidi="en-au"/>
      </w:rPr>
    </w:lvl>
    <w:lvl w:ilvl="6">
      <w:start w:val="0"/>
      <w:numFmt w:val="bullet"/>
      <w:lvlText w:val="•"/>
      <w:lvlJc w:val="left"/>
      <w:pPr>
        <w:ind w:left="5605" w:hanging="360"/>
      </w:pPr>
      <w:rPr>
        <w:rFonts w:hint="default"/>
        <w:lang w:val="en-au" w:eastAsia="en-au" w:bidi="en-au"/>
      </w:rPr>
    </w:lvl>
    <w:lvl w:ilvl="7">
      <w:start w:val="0"/>
      <w:numFmt w:val="bullet"/>
      <w:lvlText w:val="•"/>
      <w:lvlJc w:val="left"/>
      <w:pPr>
        <w:ind w:left="6479" w:hanging="360"/>
      </w:pPr>
      <w:rPr>
        <w:rFonts w:hint="default"/>
        <w:lang w:val="en-au" w:eastAsia="en-au" w:bidi="en-au"/>
      </w:rPr>
    </w:lvl>
    <w:lvl w:ilvl="8">
      <w:start w:val="0"/>
      <w:numFmt w:val="bullet"/>
      <w:lvlText w:val="•"/>
      <w:lvlJc w:val="left"/>
      <w:pPr>
        <w:ind w:left="7353" w:hanging="360"/>
      </w:pPr>
      <w:rPr>
        <w:rFonts w:hint="default"/>
        <w:lang w:val="en-au" w:eastAsia="en-au" w:bidi="en-au"/>
      </w:rPr>
    </w:lvl>
  </w:abstractNum>
  <w:abstractNum w:abstractNumId="29">
    <w:multiLevelType w:val="hybridMultilevel"/>
    <w:lvl w:ilvl="0">
      <w:start w:val="1"/>
      <w:numFmt w:val="decimal"/>
      <w:lvlText w:val="%1."/>
      <w:lvlJc w:val="left"/>
      <w:pPr>
        <w:ind w:left="660" w:hanging="360"/>
        <w:jc w:val="left"/>
      </w:pPr>
      <w:rPr>
        <w:rFonts w:hint="default" w:ascii="Verdana" w:hAnsi="Verdana" w:eastAsia="Verdana" w:cs="Verdana"/>
        <w:spacing w:val="-11"/>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28">
    <w:multiLevelType w:val="hybridMultilevel"/>
    <w:lvl w:ilvl="0">
      <w:start w:val="1"/>
      <w:numFmt w:val="decimal"/>
      <w:lvlText w:val="%1."/>
      <w:lvlJc w:val="left"/>
      <w:pPr>
        <w:ind w:left="641" w:hanging="341"/>
        <w:jc w:val="left"/>
      </w:pPr>
      <w:rPr>
        <w:rFonts w:hint="default" w:ascii="Verdana" w:hAnsi="Verdana" w:eastAsia="Verdana" w:cs="Verdana"/>
        <w:spacing w:val="-30"/>
        <w:w w:val="100"/>
        <w:sz w:val="18"/>
        <w:szCs w:val="18"/>
        <w:lang w:val="en-au" w:eastAsia="en-au" w:bidi="en-au"/>
      </w:rPr>
    </w:lvl>
    <w:lvl w:ilvl="1">
      <w:start w:val="0"/>
      <w:numFmt w:val="bullet"/>
      <w:lvlText w:val="•"/>
      <w:lvlJc w:val="left"/>
      <w:pPr>
        <w:ind w:left="1582" w:hanging="341"/>
      </w:pPr>
      <w:rPr>
        <w:rFonts w:hint="default"/>
        <w:lang w:val="en-au" w:eastAsia="en-au" w:bidi="en-au"/>
      </w:rPr>
    </w:lvl>
    <w:lvl w:ilvl="2">
      <w:start w:val="0"/>
      <w:numFmt w:val="bullet"/>
      <w:lvlText w:val="•"/>
      <w:lvlJc w:val="left"/>
      <w:pPr>
        <w:ind w:left="2525" w:hanging="341"/>
      </w:pPr>
      <w:rPr>
        <w:rFonts w:hint="default"/>
        <w:lang w:val="en-au" w:eastAsia="en-au" w:bidi="en-au"/>
      </w:rPr>
    </w:lvl>
    <w:lvl w:ilvl="3">
      <w:start w:val="0"/>
      <w:numFmt w:val="bullet"/>
      <w:lvlText w:val="•"/>
      <w:lvlJc w:val="left"/>
      <w:pPr>
        <w:ind w:left="3467" w:hanging="341"/>
      </w:pPr>
      <w:rPr>
        <w:rFonts w:hint="default"/>
        <w:lang w:val="en-au" w:eastAsia="en-au" w:bidi="en-au"/>
      </w:rPr>
    </w:lvl>
    <w:lvl w:ilvl="4">
      <w:start w:val="0"/>
      <w:numFmt w:val="bullet"/>
      <w:lvlText w:val="•"/>
      <w:lvlJc w:val="left"/>
      <w:pPr>
        <w:ind w:left="4410" w:hanging="341"/>
      </w:pPr>
      <w:rPr>
        <w:rFonts w:hint="default"/>
        <w:lang w:val="en-au" w:eastAsia="en-au" w:bidi="en-au"/>
      </w:rPr>
    </w:lvl>
    <w:lvl w:ilvl="5">
      <w:start w:val="0"/>
      <w:numFmt w:val="bullet"/>
      <w:lvlText w:val="•"/>
      <w:lvlJc w:val="left"/>
      <w:pPr>
        <w:ind w:left="5353" w:hanging="341"/>
      </w:pPr>
      <w:rPr>
        <w:rFonts w:hint="default"/>
        <w:lang w:val="en-au" w:eastAsia="en-au" w:bidi="en-au"/>
      </w:rPr>
    </w:lvl>
    <w:lvl w:ilvl="6">
      <w:start w:val="0"/>
      <w:numFmt w:val="bullet"/>
      <w:lvlText w:val="•"/>
      <w:lvlJc w:val="left"/>
      <w:pPr>
        <w:ind w:left="6295" w:hanging="341"/>
      </w:pPr>
      <w:rPr>
        <w:rFonts w:hint="default"/>
        <w:lang w:val="en-au" w:eastAsia="en-au" w:bidi="en-au"/>
      </w:rPr>
    </w:lvl>
    <w:lvl w:ilvl="7">
      <w:start w:val="0"/>
      <w:numFmt w:val="bullet"/>
      <w:lvlText w:val="•"/>
      <w:lvlJc w:val="left"/>
      <w:pPr>
        <w:ind w:left="7238" w:hanging="341"/>
      </w:pPr>
      <w:rPr>
        <w:rFonts w:hint="default"/>
        <w:lang w:val="en-au" w:eastAsia="en-au" w:bidi="en-au"/>
      </w:rPr>
    </w:lvl>
    <w:lvl w:ilvl="8">
      <w:start w:val="0"/>
      <w:numFmt w:val="bullet"/>
      <w:lvlText w:val="•"/>
      <w:lvlJc w:val="left"/>
      <w:pPr>
        <w:ind w:left="8181" w:hanging="341"/>
      </w:pPr>
      <w:rPr>
        <w:rFonts w:hint="default"/>
        <w:lang w:val="en-au" w:eastAsia="en-au" w:bidi="en-au"/>
      </w:rPr>
    </w:lvl>
  </w:abstractNum>
  <w:abstractNum w:abstractNumId="27">
    <w:multiLevelType w:val="hybridMultilevel"/>
    <w:lvl w:ilvl="0">
      <w:start w:val="1"/>
      <w:numFmt w:val="decimal"/>
      <w:lvlText w:val="%1."/>
      <w:lvlJc w:val="left"/>
      <w:pPr>
        <w:ind w:left="660" w:hanging="360"/>
        <w:jc w:val="left"/>
      </w:pPr>
      <w:rPr>
        <w:rFonts w:hint="default" w:ascii="Verdana" w:hAnsi="Verdana" w:eastAsia="Verdana" w:cs="Verdana"/>
        <w:spacing w:val="-11"/>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26">
    <w:multiLevelType w:val="hybridMultilevel"/>
    <w:lvl w:ilvl="0">
      <w:start w:val="1"/>
      <w:numFmt w:val="decimal"/>
      <w:lvlText w:val="%1."/>
      <w:lvlJc w:val="left"/>
      <w:pPr>
        <w:ind w:left="660" w:hanging="360"/>
        <w:jc w:val="left"/>
      </w:pPr>
      <w:rPr>
        <w:rFonts w:hint="default" w:ascii="Verdana" w:hAnsi="Verdana" w:eastAsia="Verdana" w:cs="Verdana"/>
        <w:spacing w:val="-11"/>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25">
    <w:multiLevelType w:val="hybridMultilevel"/>
    <w:lvl w:ilvl="0">
      <w:start w:val="0"/>
      <w:numFmt w:val="bullet"/>
      <w:lvlText w:val=""/>
      <w:lvlJc w:val="left"/>
      <w:pPr>
        <w:ind w:left="387" w:hanging="360"/>
      </w:pPr>
      <w:rPr>
        <w:rFonts w:hint="default" w:ascii="Symbol" w:hAnsi="Symbol" w:eastAsia="Symbol" w:cs="Symbol"/>
        <w:w w:val="100"/>
        <w:sz w:val="17"/>
        <w:szCs w:val="17"/>
        <w:lang w:val="en-au" w:eastAsia="en-au" w:bidi="en-au"/>
      </w:rPr>
    </w:lvl>
    <w:lvl w:ilvl="1">
      <w:start w:val="0"/>
      <w:numFmt w:val="bullet"/>
      <w:lvlText w:val="•"/>
      <w:lvlJc w:val="left"/>
      <w:pPr>
        <w:ind w:left="1060" w:hanging="360"/>
      </w:pPr>
      <w:rPr>
        <w:rFonts w:hint="default"/>
        <w:lang w:val="en-au" w:eastAsia="en-au" w:bidi="en-au"/>
      </w:rPr>
    </w:lvl>
    <w:lvl w:ilvl="2">
      <w:start w:val="0"/>
      <w:numFmt w:val="bullet"/>
      <w:lvlText w:val="•"/>
      <w:lvlJc w:val="left"/>
      <w:pPr>
        <w:ind w:left="1740" w:hanging="360"/>
      </w:pPr>
      <w:rPr>
        <w:rFonts w:hint="default"/>
        <w:lang w:val="en-au" w:eastAsia="en-au" w:bidi="en-au"/>
      </w:rPr>
    </w:lvl>
    <w:lvl w:ilvl="3">
      <w:start w:val="0"/>
      <w:numFmt w:val="bullet"/>
      <w:lvlText w:val="•"/>
      <w:lvlJc w:val="left"/>
      <w:pPr>
        <w:ind w:left="2420" w:hanging="360"/>
      </w:pPr>
      <w:rPr>
        <w:rFonts w:hint="default"/>
        <w:lang w:val="en-au" w:eastAsia="en-au" w:bidi="en-au"/>
      </w:rPr>
    </w:lvl>
    <w:lvl w:ilvl="4">
      <w:start w:val="0"/>
      <w:numFmt w:val="bullet"/>
      <w:lvlText w:val="•"/>
      <w:lvlJc w:val="left"/>
      <w:pPr>
        <w:ind w:left="3101" w:hanging="360"/>
      </w:pPr>
      <w:rPr>
        <w:rFonts w:hint="default"/>
        <w:lang w:val="en-au" w:eastAsia="en-au" w:bidi="en-au"/>
      </w:rPr>
    </w:lvl>
    <w:lvl w:ilvl="5">
      <w:start w:val="0"/>
      <w:numFmt w:val="bullet"/>
      <w:lvlText w:val="•"/>
      <w:lvlJc w:val="left"/>
      <w:pPr>
        <w:ind w:left="3781" w:hanging="360"/>
      </w:pPr>
      <w:rPr>
        <w:rFonts w:hint="default"/>
        <w:lang w:val="en-au" w:eastAsia="en-au" w:bidi="en-au"/>
      </w:rPr>
    </w:lvl>
    <w:lvl w:ilvl="6">
      <w:start w:val="0"/>
      <w:numFmt w:val="bullet"/>
      <w:lvlText w:val="•"/>
      <w:lvlJc w:val="left"/>
      <w:pPr>
        <w:ind w:left="4461" w:hanging="360"/>
      </w:pPr>
      <w:rPr>
        <w:rFonts w:hint="default"/>
        <w:lang w:val="en-au" w:eastAsia="en-au" w:bidi="en-au"/>
      </w:rPr>
    </w:lvl>
    <w:lvl w:ilvl="7">
      <w:start w:val="0"/>
      <w:numFmt w:val="bullet"/>
      <w:lvlText w:val="•"/>
      <w:lvlJc w:val="left"/>
      <w:pPr>
        <w:ind w:left="5142" w:hanging="360"/>
      </w:pPr>
      <w:rPr>
        <w:rFonts w:hint="default"/>
        <w:lang w:val="en-au" w:eastAsia="en-au" w:bidi="en-au"/>
      </w:rPr>
    </w:lvl>
    <w:lvl w:ilvl="8">
      <w:start w:val="0"/>
      <w:numFmt w:val="bullet"/>
      <w:lvlText w:val="•"/>
      <w:lvlJc w:val="left"/>
      <w:pPr>
        <w:ind w:left="5822" w:hanging="360"/>
      </w:pPr>
      <w:rPr>
        <w:rFonts w:hint="default"/>
        <w:lang w:val="en-au" w:eastAsia="en-au" w:bidi="en-au"/>
      </w:rPr>
    </w:lvl>
  </w:abstractNum>
  <w:abstractNum w:abstractNumId="24">
    <w:multiLevelType w:val="hybridMultilevel"/>
    <w:lvl w:ilvl="0">
      <w:start w:val="1"/>
      <w:numFmt w:val="decimal"/>
      <w:lvlText w:val="%1."/>
      <w:lvlJc w:val="left"/>
      <w:pPr>
        <w:ind w:left="660" w:hanging="360"/>
        <w:jc w:val="left"/>
      </w:pPr>
      <w:rPr>
        <w:rFonts w:hint="default" w:ascii="Verdana" w:hAnsi="Verdana" w:eastAsia="Verdana" w:cs="Verdana"/>
        <w:spacing w:val="-11"/>
        <w:w w:val="100"/>
        <w:sz w:val="18"/>
        <w:szCs w:val="18"/>
        <w:lang w:val="en-au" w:eastAsia="en-au" w:bidi="en-au"/>
      </w:rPr>
    </w:lvl>
    <w:lvl w:ilvl="1">
      <w:start w:val="0"/>
      <w:numFmt w:val="bullet"/>
      <w:lvlText w:val=""/>
      <w:lvlJc w:val="left"/>
      <w:pPr>
        <w:ind w:left="1020" w:hanging="360"/>
      </w:pPr>
      <w:rPr>
        <w:rFonts w:hint="default" w:ascii="Symbol" w:hAnsi="Symbol" w:eastAsia="Symbol" w:cs="Symbol"/>
        <w:w w:val="100"/>
        <w:sz w:val="18"/>
        <w:szCs w:val="18"/>
        <w:lang w:val="en-au" w:eastAsia="en-au" w:bidi="en-au"/>
      </w:rPr>
    </w:lvl>
    <w:lvl w:ilvl="2">
      <w:start w:val="0"/>
      <w:numFmt w:val="bullet"/>
      <w:lvlText w:val="•"/>
      <w:lvlJc w:val="left"/>
      <w:pPr>
        <w:ind w:left="2025" w:hanging="360"/>
      </w:pPr>
      <w:rPr>
        <w:rFonts w:hint="default"/>
        <w:lang w:val="en-au" w:eastAsia="en-au" w:bidi="en-au"/>
      </w:rPr>
    </w:lvl>
    <w:lvl w:ilvl="3">
      <w:start w:val="0"/>
      <w:numFmt w:val="bullet"/>
      <w:lvlText w:val="•"/>
      <w:lvlJc w:val="left"/>
      <w:pPr>
        <w:ind w:left="3030" w:hanging="360"/>
      </w:pPr>
      <w:rPr>
        <w:rFonts w:hint="default"/>
        <w:lang w:val="en-au" w:eastAsia="en-au" w:bidi="en-au"/>
      </w:rPr>
    </w:lvl>
    <w:lvl w:ilvl="4">
      <w:start w:val="0"/>
      <w:numFmt w:val="bullet"/>
      <w:lvlText w:val="•"/>
      <w:lvlJc w:val="left"/>
      <w:pPr>
        <w:ind w:left="4035" w:hanging="360"/>
      </w:pPr>
      <w:rPr>
        <w:rFonts w:hint="default"/>
        <w:lang w:val="en-au" w:eastAsia="en-au" w:bidi="en-au"/>
      </w:rPr>
    </w:lvl>
    <w:lvl w:ilvl="5">
      <w:start w:val="0"/>
      <w:numFmt w:val="bullet"/>
      <w:lvlText w:val="•"/>
      <w:lvlJc w:val="left"/>
      <w:pPr>
        <w:ind w:left="5040" w:hanging="360"/>
      </w:pPr>
      <w:rPr>
        <w:rFonts w:hint="default"/>
        <w:lang w:val="en-au" w:eastAsia="en-au" w:bidi="en-au"/>
      </w:rPr>
    </w:lvl>
    <w:lvl w:ilvl="6">
      <w:start w:val="0"/>
      <w:numFmt w:val="bullet"/>
      <w:lvlText w:val="•"/>
      <w:lvlJc w:val="left"/>
      <w:pPr>
        <w:ind w:left="6045" w:hanging="360"/>
      </w:pPr>
      <w:rPr>
        <w:rFonts w:hint="default"/>
        <w:lang w:val="en-au" w:eastAsia="en-au" w:bidi="en-au"/>
      </w:rPr>
    </w:lvl>
    <w:lvl w:ilvl="7">
      <w:start w:val="0"/>
      <w:numFmt w:val="bullet"/>
      <w:lvlText w:val="•"/>
      <w:lvlJc w:val="left"/>
      <w:pPr>
        <w:ind w:left="7050" w:hanging="360"/>
      </w:pPr>
      <w:rPr>
        <w:rFonts w:hint="default"/>
        <w:lang w:val="en-au" w:eastAsia="en-au" w:bidi="en-au"/>
      </w:rPr>
    </w:lvl>
    <w:lvl w:ilvl="8">
      <w:start w:val="0"/>
      <w:numFmt w:val="bullet"/>
      <w:lvlText w:val="•"/>
      <w:lvlJc w:val="left"/>
      <w:pPr>
        <w:ind w:left="8056" w:hanging="360"/>
      </w:pPr>
      <w:rPr>
        <w:rFonts w:hint="default"/>
        <w:lang w:val="en-au" w:eastAsia="en-au" w:bidi="en-au"/>
      </w:rPr>
    </w:lvl>
  </w:abstractNum>
  <w:abstractNum w:abstractNumId="23">
    <w:multiLevelType w:val="hybridMultilevel"/>
    <w:lvl w:ilvl="0">
      <w:start w:val="3"/>
      <w:numFmt w:val="decimal"/>
      <w:lvlText w:val="%1"/>
      <w:lvlJc w:val="left"/>
      <w:pPr>
        <w:ind w:left="1094" w:hanging="795"/>
        <w:jc w:val="left"/>
      </w:pPr>
      <w:rPr>
        <w:rFonts w:hint="default" w:ascii="Verdana" w:hAnsi="Verdana" w:eastAsia="Verdana" w:cs="Verdana"/>
        <w:spacing w:val="-4"/>
        <w:w w:val="100"/>
        <w:sz w:val="60"/>
        <w:szCs w:val="60"/>
        <w:lang w:val="en-au" w:eastAsia="en-au" w:bidi="en-au"/>
      </w:rPr>
    </w:lvl>
    <w:lvl w:ilvl="1">
      <w:start w:val="1"/>
      <w:numFmt w:val="decimal"/>
      <w:lvlText w:val="%1.%2"/>
      <w:lvlJc w:val="left"/>
      <w:pPr>
        <w:ind w:left="1294" w:hanging="994"/>
        <w:jc w:val="left"/>
      </w:pPr>
      <w:rPr>
        <w:rFonts w:hint="default" w:ascii="Verdana" w:hAnsi="Verdana" w:eastAsia="Verdana" w:cs="Verdana"/>
        <w:b/>
        <w:bCs/>
        <w:color w:val="61B5E4"/>
        <w:spacing w:val="-1"/>
        <w:w w:val="100"/>
        <w:sz w:val="22"/>
        <w:szCs w:val="22"/>
        <w:lang w:val="en-au" w:eastAsia="en-au" w:bidi="en-au"/>
      </w:rPr>
    </w:lvl>
    <w:lvl w:ilvl="2">
      <w:start w:val="1"/>
      <w:numFmt w:val="decimal"/>
      <w:lvlText w:val="%1.%2.%3"/>
      <w:lvlJc w:val="left"/>
      <w:pPr>
        <w:ind w:left="1320" w:hanging="1020"/>
        <w:jc w:val="left"/>
      </w:pPr>
      <w:rPr>
        <w:rFonts w:hint="default" w:ascii="Verdana" w:hAnsi="Verdana" w:eastAsia="Verdana" w:cs="Verdana"/>
        <w:b/>
        <w:bCs/>
        <w:spacing w:val="-1"/>
        <w:w w:val="100"/>
        <w:sz w:val="18"/>
        <w:szCs w:val="18"/>
        <w:lang w:val="en-au" w:eastAsia="en-au" w:bidi="en-au"/>
      </w:rPr>
    </w:lvl>
    <w:lvl w:ilvl="3">
      <w:start w:val="0"/>
      <w:numFmt w:val="bullet"/>
      <w:lvlText w:val="•"/>
      <w:lvlJc w:val="left"/>
      <w:pPr>
        <w:ind w:left="1320" w:hanging="1020"/>
      </w:pPr>
      <w:rPr>
        <w:rFonts w:hint="default"/>
        <w:lang w:val="en-au" w:eastAsia="en-au" w:bidi="en-au"/>
      </w:rPr>
    </w:lvl>
    <w:lvl w:ilvl="4">
      <w:start w:val="0"/>
      <w:numFmt w:val="bullet"/>
      <w:lvlText w:val="•"/>
      <w:lvlJc w:val="left"/>
      <w:pPr>
        <w:ind w:left="2449" w:hanging="1020"/>
      </w:pPr>
      <w:rPr>
        <w:rFonts w:hint="default"/>
        <w:lang w:val="en-au" w:eastAsia="en-au" w:bidi="en-au"/>
      </w:rPr>
    </w:lvl>
    <w:lvl w:ilvl="5">
      <w:start w:val="0"/>
      <w:numFmt w:val="bullet"/>
      <w:lvlText w:val="•"/>
      <w:lvlJc w:val="left"/>
      <w:pPr>
        <w:ind w:left="3578" w:hanging="1020"/>
      </w:pPr>
      <w:rPr>
        <w:rFonts w:hint="default"/>
        <w:lang w:val="en-au" w:eastAsia="en-au" w:bidi="en-au"/>
      </w:rPr>
    </w:lvl>
    <w:lvl w:ilvl="6">
      <w:start w:val="0"/>
      <w:numFmt w:val="bullet"/>
      <w:lvlText w:val="•"/>
      <w:lvlJc w:val="left"/>
      <w:pPr>
        <w:ind w:left="4708" w:hanging="1020"/>
      </w:pPr>
      <w:rPr>
        <w:rFonts w:hint="default"/>
        <w:lang w:val="en-au" w:eastAsia="en-au" w:bidi="en-au"/>
      </w:rPr>
    </w:lvl>
    <w:lvl w:ilvl="7">
      <w:start w:val="0"/>
      <w:numFmt w:val="bullet"/>
      <w:lvlText w:val="•"/>
      <w:lvlJc w:val="left"/>
      <w:pPr>
        <w:ind w:left="5837" w:hanging="1020"/>
      </w:pPr>
      <w:rPr>
        <w:rFonts w:hint="default"/>
        <w:lang w:val="en-au" w:eastAsia="en-au" w:bidi="en-au"/>
      </w:rPr>
    </w:lvl>
    <w:lvl w:ilvl="8">
      <w:start w:val="0"/>
      <w:numFmt w:val="bullet"/>
      <w:lvlText w:val="•"/>
      <w:lvlJc w:val="left"/>
      <w:pPr>
        <w:ind w:left="6967" w:hanging="1020"/>
      </w:pPr>
      <w:rPr>
        <w:rFonts w:hint="default"/>
        <w:lang w:val="en-au" w:eastAsia="en-au" w:bidi="en-au"/>
      </w:rPr>
    </w:lvl>
  </w:abstractNum>
  <w:abstractNum w:abstractNumId="22">
    <w:multiLevelType w:val="hybridMultilevel"/>
    <w:lvl w:ilvl="0">
      <w:start w:val="1"/>
      <w:numFmt w:val="decimal"/>
      <w:lvlText w:val="%1."/>
      <w:lvlJc w:val="left"/>
      <w:pPr>
        <w:ind w:left="660" w:hanging="360"/>
        <w:jc w:val="left"/>
      </w:pPr>
      <w:rPr>
        <w:rFonts w:hint="default" w:ascii="Verdana" w:hAnsi="Verdana" w:eastAsia="Verdana" w:cs="Verdana"/>
        <w:spacing w:val="-11"/>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21">
    <w:multiLevelType w:val="hybridMultilevel"/>
    <w:lvl w:ilvl="0">
      <w:start w:val="1"/>
      <w:numFmt w:val="decimal"/>
      <w:lvlText w:val="%1."/>
      <w:lvlJc w:val="left"/>
      <w:pPr>
        <w:ind w:left="660" w:hanging="360"/>
        <w:jc w:val="left"/>
      </w:pPr>
      <w:rPr>
        <w:rFonts w:hint="default" w:ascii="Verdana" w:hAnsi="Verdana" w:eastAsia="Verdana" w:cs="Verdana"/>
        <w:spacing w:val="-11"/>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20">
    <w:multiLevelType w:val="hybridMultilevel"/>
    <w:lvl w:ilvl="0">
      <w:start w:val="0"/>
      <w:numFmt w:val="bullet"/>
      <w:lvlText w:val=""/>
      <w:lvlJc w:val="left"/>
      <w:pPr>
        <w:ind w:left="660" w:hanging="360"/>
      </w:pPr>
      <w:rPr>
        <w:rFonts w:hint="default" w:ascii="Symbol" w:hAnsi="Symbol" w:eastAsia="Symbol" w:cs="Symbol"/>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19">
    <w:multiLevelType w:val="hybridMultilevel"/>
    <w:lvl w:ilvl="0">
      <w:start w:val="1"/>
      <w:numFmt w:val="decimal"/>
      <w:lvlText w:val="%1."/>
      <w:lvlJc w:val="left"/>
      <w:pPr>
        <w:ind w:left="660" w:hanging="360"/>
        <w:jc w:val="left"/>
      </w:pPr>
      <w:rPr>
        <w:rFonts w:hint="default" w:ascii="Verdana" w:hAnsi="Verdana" w:eastAsia="Verdana" w:cs="Verdana"/>
        <w:spacing w:val="-11"/>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18">
    <w:multiLevelType w:val="hybridMultilevel"/>
    <w:lvl w:ilvl="0">
      <w:start w:val="1"/>
      <w:numFmt w:val="decimal"/>
      <w:lvlText w:val="%1"/>
      <w:lvlJc w:val="left"/>
      <w:pPr>
        <w:ind w:left="660" w:hanging="360"/>
        <w:jc w:val="left"/>
      </w:pPr>
      <w:rPr>
        <w:rFonts w:hint="default" w:ascii="Verdana" w:hAnsi="Verdana" w:eastAsia="Verdana" w:cs="Verdana"/>
        <w:spacing w:val="-3"/>
        <w:w w:val="100"/>
        <w:sz w:val="18"/>
        <w:szCs w:val="18"/>
        <w:lang w:val="en-au" w:eastAsia="en-au" w:bidi="en-au"/>
      </w:rPr>
    </w:lvl>
    <w:lvl w:ilvl="1">
      <w:start w:val="0"/>
      <w:numFmt w:val="bullet"/>
      <w:lvlText w:val="•"/>
      <w:lvlJc w:val="left"/>
      <w:pPr>
        <w:ind w:left="1600" w:hanging="360"/>
      </w:pPr>
      <w:rPr>
        <w:rFonts w:hint="default"/>
        <w:lang w:val="en-au" w:eastAsia="en-au" w:bidi="en-au"/>
      </w:rPr>
    </w:lvl>
    <w:lvl w:ilvl="2">
      <w:start w:val="0"/>
      <w:numFmt w:val="bullet"/>
      <w:lvlText w:val="•"/>
      <w:lvlJc w:val="left"/>
      <w:pPr>
        <w:ind w:left="2541" w:hanging="360"/>
      </w:pPr>
      <w:rPr>
        <w:rFonts w:hint="default"/>
        <w:lang w:val="en-au" w:eastAsia="en-au" w:bidi="en-au"/>
      </w:rPr>
    </w:lvl>
    <w:lvl w:ilvl="3">
      <w:start w:val="0"/>
      <w:numFmt w:val="bullet"/>
      <w:lvlText w:val="•"/>
      <w:lvlJc w:val="left"/>
      <w:pPr>
        <w:ind w:left="3481" w:hanging="360"/>
      </w:pPr>
      <w:rPr>
        <w:rFonts w:hint="default"/>
        <w:lang w:val="en-au" w:eastAsia="en-au" w:bidi="en-au"/>
      </w:rPr>
    </w:lvl>
    <w:lvl w:ilvl="4">
      <w:start w:val="0"/>
      <w:numFmt w:val="bullet"/>
      <w:lvlText w:val="•"/>
      <w:lvlJc w:val="left"/>
      <w:pPr>
        <w:ind w:left="4422" w:hanging="360"/>
      </w:pPr>
      <w:rPr>
        <w:rFonts w:hint="default"/>
        <w:lang w:val="en-au" w:eastAsia="en-au" w:bidi="en-au"/>
      </w:rPr>
    </w:lvl>
    <w:lvl w:ilvl="5">
      <w:start w:val="0"/>
      <w:numFmt w:val="bullet"/>
      <w:lvlText w:val="•"/>
      <w:lvlJc w:val="left"/>
      <w:pPr>
        <w:ind w:left="5363" w:hanging="360"/>
      </w:pPr>
      <w:rPr>
        <w:rFonts w:hint="default"/>
        <w:lang w:val="en-au" w:eastAsia="en-au" w:bidi="en-au"/>
      </w:rPr>
    </w:lvl>
    <w:lvl w:ilvl="6">
      <w:start w:val="0"/>
      <w:numFmt w:val="bullet"/>
      <w:lvlText w:val="•"/>
      <w:lvlJc w:val="left"/>
      <w:pPr>
        <w:ind w:left="6303" w:hanging="360"/>
      </w:pPr>
      <w:rPr>
        <w:rFonts w:hint="default"/>
        <w:lang w:val="en-au" w:eastAsia="en-au" w:bidi="en-au"/>
      </w:rPr>
    </w:lvl>
    <w:lvl w:ilvl="7">
      <w:start w:val="0"/>
      <w:numFmt w:val="bullet"/>
      <w:lvlText w:val="•"/>
      <w:lvlJc w:val="left"/>
      <w:pPr>
        <w:ind w:left="7244" w:hanging="360"/>
      </w:pPr>
      <w:rPr>
        <w:rFonts w:hint="default"/>
        <w:lang w:val="en-au" w:eastAsia="en-au" w:bidi="en-au"/>
      </w:rPr>
    </w:lvl>
    <w:lvl w:ilvl="8">
      <w:start w:val="0"/>
      <w:numFmt w:val="bullet"/>
      <w:lvlText w:val="•"/>
      <w:lvlJc w:val="left"/>
      <w:pPr>
        <w:ind w:left="8185" w:hanging="360"/>
      </w:pPr>
      <w:rPr>
        <w:rFonts w:hint="default"/>
        <w:lang w:val="en-au" w:eastAsia="en-au" w:bidi="en-au"/>
      </w:rPr>
    </w:lvl>
  </w:abstractNum>
  <w:abstractNum w:abstractNumId="17">
    <w:multiLevelType w:val="hybridMultilevel"/>
    <w:lvl w:ilvl="0">
      <w:start w:val="1"/>
      <w:numFmt w:val="decimal"/>
      <w:lvlText w:val="%1."/>
      <w:lvlJc w:val="left"/>
      <w:pPr>
        <w:ind w:left="641" w:hanging="341"/>
        <w:jc w:val="left"/>
      </w:pPr>
      <w:rPr>
        <w:rFonts w:hint="default" w:ascii="Verdana" w:hAnsi="Verdana" w:eastAsia="Verdana" w:cs="Verdana"/>
        <w:spacing w:val="-30"/>
        <w:w w:val="100"/>
        <w:sz w:val="18"/>
        <w:szCs w:val="18"/>
        <w:lang w:val="en-au" w:eastAsia="en-au" w:bidi="en-au"/>
      </w:rPr>
    </w:lvl>
    <w:lvl w:ilvl="1">
      <w:start w:val="0"/>
      <w:numFmt w:val="bullet"/>
      <w:lvlText w:val="•"/>
      <w:lvlJc w:val="left"/>
      <w:pPr>
        <w:ind w:left="1582" w:hanging="341"/>
      </w:pPr>
      <w:rPr>
        <w:rFonts w:hint="default"/>
        <w:lang w:val="en-au" w:eastAsia="en-au" w:bidi="en-au"/>
      </w:rPr>
    </w:lvl>
    <w:lvl w:ilvl="2">
      <w:start w:val="0"/>
      <w:numFmt w:val="bullet"/>
      <w:lvlText w:val="•"/>
      <w:lvlJc w:val="left"/>
      <w:pPr>
        <w:ind w:left="2525" w:hanging="341"/>
      </w:pPr>
      <w:rPr>
        <w:rFonts w:hint="default"/>
        <w:lang w:val="en-au" w:eastAsia="en-au" w:bidi="en-au"/>
      </w:rPr>
    </w:lvl>
    <w:lvl w:ilvl="3">
      <w:start w:val="0"/>
      <w:numFmt w:val="bullet"/>
      <w:lvlText w:val="•"/>
      <w:lvlJc w:val="left"/>
      <w:pPr>
        <w:ind w:left="3467" w:hanging="341"/>
      </w:pPr>
      <w:rPr>
        <w:rFonts w:hint="default"/>
        <w:lang w:val="en-au" w:eastAsia="en-au" w:bidi="en-au"/>
      </w:rPr>
    </w:lvl>
    <w:lvl w:ilvl="4">
      <w:start w:val="0"/>
      <w:numFmt w:val="bullet"/>
      <w:lvlText w:val="•"/>
      <w:lvlJc w:val="left"/>
      <w:pPr>
        <w:ind w:left="4410" w:hanging="341"/>
      </w:pPr>
      <w:rPr>
        <w:rFonts w:hint="default"/>
        <w:lang w:val="en-au" w:eastAsia="en-au" w:bidi="en-au"/>
      </w:rPr>
    </w:lvl>
    <w:lvl w:ilvl="5">
      <w:start w:val="0"/>
      <w:numFmt w:val="bullet"/>
      <w:lvlText w:val="•"/>
      <w:lvlJc w:val="left"/>
      <w:pPr>
        <w:ind w:left="5353" w:hanging="341"/>
      </w:pPr>
      <w:rPr>
        <w:rFonts w:hint="default"/>
        <w:lang w:val="en-au" w:eastAsia="en-au" w:bidi="en-au"/>
      </w:rPr>
    </w:lvl>
    <w:lvl w:ilvl="6">
      <w:start w:val="0"/>
      <w:numFmt w:val="bullet"/>
      <w:lvlText w:val="•"/>
      <w:lvlJc w:val="left"/>
      <w:pPr>
        <w:ind w:left="6295" w:hanging="341"/>
      </w:pPr>
      <w:rPr>
        <w:rFonts w:hint="default"/>
        <w:lang w:val="en-au" w:eastAsia="en-au" w:bidi="en-au"/>
      </w:rPr>
    </w:lvl>
    <w:lvl w:ilvl="7">
      <w:start w:val="0"/>
      <w:numFmt w:val="bullet"/>
      <w:lvlText w:val="•"/>
      <w:lvlJc w:val="left"/>
      <w:pPr>
        <w:ind w:left="7238" w:hanging="341"/>
      </w:pPr>
      <w:rPr>
        <w:rFonts w:hint="default"/>
        <w:lang w:val="en-au" w:eastAsia="en-au" w:bidi="en-au"/>
      </w:rPr>
    </w:lvl>
    <w:lvl w:ilvl="8">
      <w:start w:val="0"/>
      <w:numFmt w:val="bullet"/>
      <w:lvlText w:val="•"/>
      <w:lvlJc w:val="left"/>
      <w:pPr>
        <w:ind w:left="8181" w:hanging="341"/>
      </w:pPr>
      <w:rPr>
        <w:rFonts w:hint="default"/>
        <w:lang w:val="en-au" w:eastAsia="en-au" w:bidi="en-au"/>
      </w:rPr>
    </w:lvl>
  </w:abstractNum>
  <w:abstractNum w:abstractNumId="16">
    <w:multiLevelType w:val="hybridMultilevel"/>
    <w:lvl w:ilvl="0">
      <w:start w:val="2"/>
      <w:numFmt w:val="decimal"/>
      <w:lvlText w:val="%1"/>
      <w:lvlJc w:val="left"/>
      <w:pPr>
        <w:ind w:left="1094" w:hanging="795"/>
        <w:jc w:val="left"/>
      </w:pPr>
      <w:rPr>
        <w:rFonts w:hint="default" w:ascii="Verdana" w:hAnsi="Verdana" w:eastAsia="Verdana" w:cs="Verdana"/>
        <w:spacing w:val="-3"/>
        <w:w w:val="100"/>
        <w:sz w:val="60"/>
        <w:szCs w:val="60"/>
        <w:lang w:val="en-au" w:eastAsia="en-au" w:bidi="en-au"/>
      </w:rPr>
    </w:lvl>
    <w:lvl w:ilvl="1">
      <w:start w:val="1"/>
      <w:numFmt w:val="decimal"/>
      <w:lvlText w:val="%1.%2"/>
      <w:lvlJc w:val="left"/>
      <w:pPr>
        <w:ind w:left="1094" w:hanging="795"/>
        <w:jc w:val="left"/>
      </w:pPr>
      <w:rPr>
        <w:rFonts w:hint="default" w:ascii="Verdana" w:hAnsi="Verdana" w:eastAsia="Verdana" w:cs="Verdana"/>
        <w:b/>
        <w:bCs/>
        <w:color w:val="61B5E4"/>
        <w:spacing w:val="-1"/>
        <w:w w:val="100"/>
        <w:sz w:val="22"/>
        <w:szCs w:val="22"/>
        <w:lang w:val="en-au" w:eastAsia="en-au" w:bidi="en-au"/>
      </w:rPr>
    </w:lvl>
    <w:lvl w:ilvl="2">
      <w:start w:val="1"/>
      <w:numFmt w:val="decimal"/>
      <w:lvlText w:val="%1.%2.%3"/>
      <w:lvlJc w:val="left"/>
      <w:pPr>
        <w:ind w:left="1320" w:hanging="1020"/>
        <w:jc w:val="left"/>
      </w:pPr>
      <w:rPr>
        <w:rFonts w:hint="default" w:ascii="Verdana" w:hAnsi="Verdana" w:eastAsia="Verdana" w:cs="Verdana"/>
        <w:b/>
        <w:bCs/>
        <w:spacing w:val="-2"/>
        <w:w w:val="100"/>
        <w:sz w:val="18"/>
        <w:szCs w:val="18"/>
        <w:lang w:val="en-au" w:eastAsia="en-au" w:bidi="en-au"/>
      </w:rPr>
    </w:lvl>
    <w:lvl w:ilvl="3">
      <w:start w:val="1"/>
      <w:numFmt w:val="decimal"/>
      <w:lvlText w:val="%1.%2.%3.%4"/>
      <w:lvlJc w:val="left"/>
      <w:pPr>
        <w:ind w:left="1433" w:hanging="1133"/>
        <w:jc w:val="left"/>
      </w:pPr>
      <w:rPr>
        <w:rFonts w:hint="default" w:ascii="Verdana" w:hAnsi="Verdana" w:eastAsia="Verdana" w:cs="Verdana"/>
        <w:b/>
        <w:bCs/>
        <w:color w:val="75787A"/>
        <w:spacing w:val="-3"/>
        <w:w w:val="100"/>
        <w:sz w:val="18"/>
        <w:szCs w:val="18"/>
        <w:lang w:val="en-au" w:eastAsia="en-au" w:bidi="en-au"/>
      </w:rPr>
    </w:lvl>
    <w:lvl w:ilvl="4">
      <w:start w:val="0"/>
      <w:numFmt w:val="bullet"/>
      <w:lvlText w:val="•"/>
      <w:lvlJc w:val="left"/>
      <w:pPr>
        <w:ind w:left="3596" w:hanging="1133"/>
      </w:pPr>
      <w:rPr>
        <w:rFonts w:hint="default"/>
        <w:lang w:val="en-au" w:eastAsia="en-au" w:bidi="en-au"/>
      </w:rPr>
    </w:lvl>
    <w:lvl w:ilvl="5">
      <w:start w:val="0"/>
      <w:numFmt w:val="bullet"/>
      <w:lvlText w:val="•"/>
      <w:lvlJc w:val="left"/>
      <w:pPr>
        <w:ind w:left="4674" w:hanging="1133"/>
      </w:pPr>
      <w:rPr>
        <w:rFonts w:hint="default"/>
        <w:lang w:val="en-au" w:eastAsia="en-au" w:bidi="en-au"/>
      </w:rPr>
    </w:lvl>
    <w:lvl w:ilvl="6">
      <w:start w:val="0"/>
      <w:numFmt w:val="bullet"/>
      <w:lvlText w:val="•"/>
      <w:lvlJc w:val="left"/>
      <w:pPr>
        <w:ind w:left="5753" w:hanging="1133"/>
      </w:pPr>
      <w:rPr>
        <w:rFonts w:hint="default"/>
        <w:lang w:val="en-au" w:eastAsia="en-au" w:bidi="en-au"/>
      </w:rPr>
    </w:lvl>
    <w:lvl w:ilvl="7">
      <w:start w:val="0"/>
      <w:numFmt w:val="bullet"/>
      <w:lvlText w:val="•"/>
      <w:lvlJc w:val="left"/>
      <w:pPr>
        <w:ind w:left="6831" w:hanging="1133"/>
      </w:pPr>
      <w:rPr>
        <w:rFonts w:hint="default"/>
        <w:lang w:val="en-au" w:eastAsia="en-au" w:bidi="en-au"/>
      </w:rPr>
    </w:lvl>
    <w:lvl w:ilvl="8">
      <w:start w:val="0"/>
      <w:numFmt w:val="bullet"/>
      <w:lvlText w:val="•"/>
      <w:lvlJc w:val="left"/>
      <w:pPr>
        <w:ind w:left="7909" w:hanging="1133"/>
      </w:pPr>
      <w:rPr>
        <w:rFonts w:hint="default"/>
        <w:lang w:val="en-au" w:eastAsia="en-au" w:bidi="en-au"/>
      </w:rPr>
    </w:lvl>
  </w:abstractNum>
  <w:abstractNum w:abstractNumId="11">
    <w:multiLevelType w:val="hybridMultilevel"/>
    <w:lvl w:ilvl="0">
      <w:start w:val="0"/>
      <w:numFmt w:val="bullet"/>
      <w:lvlText w:val="•"/>
      <w:lvlJc w:val="left"/>
      <w:pPr>
        <w:ind w:left="180" w:hanging="181"/>
      </w:pPr>
      <w:rPr>
        <w:rFonts w:hint="default" w:ascii="Arial" w:hAnsi="Arial" w:eastAsia="Arial" w:cs="Arial"/>
        <w:w w:val="107"/>
        <w:sz w:val="10"/>
        <w:szCs w:val="10"/>
        <w:lang w:val="en-au" w:eastAsia="en-au" w:bidi="en-au"/>
      </w:rPr>
    </w:lvl>
    <w:lvl w:ilvl="1">
      <w:start w:val="0"/>
      <w:numFmt w:val="bullet"/>
      <w:lvlText w:val="•"/>
      <w:lvlJc w:val="left"/>
      <w:pPr>
        <w:ind w:left="435" w:hanging="181"/>
      </w:pPr>
      <w:rPr>
        <w:rFonts w:hint="default"/>
        <w:lang w:val="en-au" w:eastAsia="en-au" w:bidi="en-au"/>
      </w:rPr>
    </w:lvl>
    <w:lvl w:ilvl="2">
      <w:start w:val="0"/>
      <w:numFmt w:val="bullet"/>
      <w:lvlText w:val="•"/>
      <w:lvlJc w:val="left"/>
      <w:pPr>
        <w:ind w:left="691" w:hanging="181"/>
      </w:pPr>
      <w:rPr>
        <w:rFonts w:hint="default"/>
        <w:lang w:val="en-au" w:eastAsia="en-au" w:bidi="en-au"/>
      </w:rPr>
    </w:lvl>
    <w:lvl w:ilvl="3">
      <w:start w:val="0"/>
      <w:numFmt w:val="bullet"/>
      <w:lvlText w:val="•"/>
      <w:lvlJc w:val="left"/>
      <w:pPr>
        <w:ind w:left="947" w:hanging="181"/>
      </w:pPr>
      <w:rPr>
        <w:rFonts w:hint="default"/>
        <w:lang w:val="en-au" w:eastAsia="en-au" w:bidi="en-au"/>
      </w:rPr>
    </w:lvl>
    <w:lvl w:ilvl="4">
      <w:start w:val="0"/>
      <w:numFmt w:val="bullet"/>
      <w:lvlText w:val="•"/>
      <w:lvlJc w:val="left"/>
      <w:pPr>
        <w:ind w:left="1203" w:hanging="181"/>
      </w:pPr>
      <w:rPr>
        <w:rFonts w:hint="default"/>
        <w:lang w:val="en-au" w:eastAsia="en-au" w:bidi="en-au"/>
      </w:rPr>
    </w:lvl>
    <w:lvl w:ilvl="5">
      <w:start w:val="0"/>
      <w:numFmt w:val="bullet"/>
      <w:lvlText w:val="•"/>
      <w:lvlJc w:val="left"/>
      <w:pPr>
        <w:ind w:left="1458" w:hanging="181"/>
      </w:pPr>
      <w:rPr>
        <w:rFonts w:hint="default"/>
        <w:lang w:val="en-au" w:eastAsia="en-au" w:bidi="en-au"/>
      </w:rPr>
    </w:lvl>
    <w:lvl w:ilvl="6">
      <w:start w:val="0"/>
      <w:numFmt w:val="bullet"/>
      <w:lvlText w:val="•"/>
      <w:lvlJc w:val="left"/>
      <w:pPr>
        <w:ind w:left="1714" w:hanging="181"/>
      </w:pPr>
      <w:rPr>
        <w:rFonts w:hint="default"/>
        <w:lang w:val="en-au" w:eastAsia="en-au" w:bidi="en-au"/>
      </w:rPr>
    </w:lvl>
    <w:lvl w:ilvl="7">
      <w:start w:val="0"/>
      <w:numFmt w:val="bullet"/>
      <w:lvlText w:val="•"/>
      <w:lvlJc w:val="left"/>
      <w:pPr>
        <w:ind w:left="1970" w:hanging="181"/>
      </w:pPr>
      <w:rPr>
        <w:rFonts w:hint="default"/>
        <w:lang w:val="en-au" w:eastAsia="en-au" w:bidi="en-au"/>
      </w:rPr>
    </w:lvl>
    <w:lvl w:ilvl="8">
      <w:start w:val="0"/>
      <w:numFmt w:val="bullet"/>
      <w:lvlText w:val="•"/>
      <w:lvlJc w:val="left"/>
      <w:pPr>
        <w:ind w:left="2226" w:hanging="181"/>
      </w:pPr>
      <w:rPr>
        <w:rFonts w:hint="default"/>
        <w:lang w:val="en-au" w:eastAsia="en-au" w:bidi="en-au"/>
      </w:rPr>
    </w:lvl>
  </w:abstractNum>
  <w:abstractNum w:abstractNumId="14">
    <w:multiLevelType w:val="hybridMultilevel"/>
    <w:lvl w:ilvl="0">
      <w:start w:val="0"/>
      <w:numFmt w:val="bullet"/>
      <w:lvlText w:val="•"/>
      <w:lvlJc w:val="left"/>
      <w:pPr>
        <w:ind w:left="180" w:hanging="181"/>
      </w:pPr>
      <w:rPr>
        <w:rFonts w:hint="default" w:ascii="Arial" w:hAnsi="Arial" w:eastAsia="Arial" w:cs="Arial"/>
        <w:w w:val="107"/>
        <w:sz w:val="10"/>
        <w:szCs w:val="10"/>
        <w:lang w:val="en-au" w:eastAsia="en-au" w:bidi="en-au"/>
      </w:rPr>
    </w:lvl>
    <w:lvl w:ilvl="1">
      <w:start w:val="0"/>
      <w:numFmt w:val="bullet"/>
      <w:lvlText w:val="•"/>
      <w:lvlJc w:val="left"/>
      <w:pPr>
        <w:ind w:left="435" w:hanging="181"/>
      </w:pPr>
      <w:rPr>
        <w:rFonts w:hint="default"/>
        <w:lang w:val="en-au" w:eastAsia="en-au" w:bidi="en-au"/>
      </w:rPr>
    </w:lvl>
    <w:lvl w:ilvl="2">
      <w:start w:val="0"/>
      <w:numFmt w:val="bullet"/>
      <w:lvlText w:val="•"/>
      <w:lvlJc w:val="left"/>
      <w:pPr>
        <w:ind w:left="691" w:hanging="181"/>
      </w:pPr>
      <w:rPr>
        <w:rFonts w:hint="default"/>
        <w:lang w:val="en-au" w:eastAsia="en-au" w:bidi="en-au"/>
      </w:rPr>
    </w:lvl>
    <w:lvl w:ilvl="3">
      <w:start w:val="0"/>
      <w:numFmt w:val="bullet"/>
      <w:lvlText w:val="•"/>
      <w:lvlJc w:val="left"/>
      <w:pPr>
        <w:ind w:left="946" w:hanging="181"/>
      </w:pPr>
      <w:rPr>
        <w:rFonts w:hint="default"/>
        <w:lang w:val="en-au" w:eastAsia="en-au" w:bidi="en-au"/>
      </w:rPr>
    </w:lvl>
    <w:lvl w:ilvl="4">
      <w:start w:val="0"/>
      <w:numFmt w:val="bullet"/>
      <w:lvlText w:val="•"/>
      <w:lvlJc w:val="left"/>
      <w:pPr>
        <w:ind w:left="1202" w:hanging="181"/>
      </w:pPr>
      <w:rPr>
        <w:rFonts w:hint="default"/>
        <w:lang w:val="en-au" w:eastAsia="en-au" w:bidi="en-au"/>
      </w:rPr>
    </w:lvl>
    <w:lvl w:ilvl="5">
      <w:start w:val="0"/>
      <w:numFmt w:val="bullet"/>
      <w:lvlText w:val="•"/>
      <w:lvlJc w:val="left"/>
      <w:pPr>
        <w:ind w:left="1457" w:hanging="181"/>
      </w:pPr>
      <w:rPr>
        <w:rFonts w:hint="default"/>
        <w:lang w:val="en-au" w:eastAsia="en-au" w:bidi="en-au"/>
      </w:rPr>
    </w:lvl>
    <w:lvl w:ilvl="6">
      <w:start w:val="0"/>
      <w:numFmt w:val="bullet"/>
      <w:lvlText w:val="•"/>
      <w:lvlJc w:val="left"/>
      <w:pPr>
        <w:ind w:left="1713" w:hanging="181"/>
      </w:pPr>
      <w:rPr>
        <w:rFonts w:hint="default"/>
        <w:lang w:val="en-au" w:eastAsia="en-au" w:bidi="en-au"/>
      </w:rPr>
    </w:lvl>
    <w:lvl w:ilvl="7">
      <w:start w:val="0"/>
      <w:numFmt w:val="bullet"/>
      <w:lvlText w:val="•"/>
      <w:lvlJc w:val="left"/>
      <w:pPr>
        <w:ind w:left="1968" w:hanging="181"/>
      </w:pPr>
      <w:rPr>
        <w:rFonts w:hint="default"/>
        <w:lang w:val="en-au" w:eastAsia="en-au" w:bidi="en-au"/>
      </w:rPr>
    </w:lvl>
    <w:lvl w:ilvl="8">
      <w:start w:val="0"/>
      <w:numFmt w:val="bullet"/>
      <w:lvlText w:val="•"/>
      <w:lvlJc w:val="left"/>
      <w:pPr>
        <w:ind w:left="2224" w:hanging="181"/>
      </w:pPr>
      <w:rPr>
        <w:rFonts w:hint="default"/>
        <w:lang w:val="en-au" w:eastAsia="en-au" w:bidi="en-au"/>
      </w:rPr>
    </w:lvl>
  </w:abstractNum>
  <w:abstractNum w:abstractNumId="13">
    <w:multiLevelType w:val="hybridMultilevel"/>
    <w:lvl w:ilvl="0">
      <w:start w:val="0"/>
      <w:numFmt w:val="bullet"/>
      <w:lvlText w:val="•"/>
      <w:lvlJc w:val="left"/>
      <w:pPr>
        <w:ind w:left="180" w:hanging="181"/>
      </w:pPr>
      <w:rPr>
        <w:rFonts w:hint="default" w:ascii="Arial" w:hAnsi="Arial" w:eastAsia="Arial" w:cs="Arial"/>
        <w:w w:val="107"/>
        <w:sz w:val="10"/>
        <w:szCs w:val="10"/>
        <w:lang w:val="en-au" w:eastAsia="en-au" w:bidi="en-au"/>
      </w:rPr>
    </w:lvl>
    <w:lvl w:ilvl="1">
      <w:start w:val="0"/>
      <w:numFmt w:val="bullet"/>
      <w:lvlText w:val="•"/>
      <w:lvlJc w:val="left"/>
      <w:pPr>
        <w:ind w:left="422" w:hanging="181"/>
      </w:pPr>
      <w:rPr>
        <w:rFonts w:hint="default"/>
        <w:lang w:val="en-au" w:eastAsia="en-au" w:bidi="en-au"/>
      </w:rPr>
    </w:lvl>
    <w:lvl w:ilvl="2">
      <w:start w:val="0"/>
      <w:numFmt w:val="bullet"/>
      <w:lvlText w:val="•"/>
      <w:lvlJc w:val="left"/>
      <w:pPr>
        <w:ind w:left="664" w:hanging="181"/>
      </w:pPr>
      <w:rPr>
        <w:rFonts w:hint="default"/>
        <w:lang w:val="en-au" w:eastAsia="en-au" w:bidi="en-au"/>
      </w:rPr>
    </w:lvl>
    <w:lvl w:ilvl="3">
      <w:start w:val="0"/>
      <w:numFmt w:val="bullet"/>
      <w:lvlText w:val="•"/>
      <w:lvlJc w:val="left"/>
      <w:pPr>
        <w:ind w:left="907" w:hanging="181"/>
      </w:pPr>
      <w:rPr>
        <w:rFonts w:hint="default"/>
        <w:lang w:val="en-au" w:eastAsia="en-au" w:bidi="en-au"/>
      </w:rPr>
    </w:lvl>
    <w:lvl w:ilvl="4">
      <w:start w:val="0"/>
      <w:numFmt w:val="bullet"/>
      <w:lvlText w:val="•"/>
      <w:lvlJc w:val="left"/>
      <w:pPr>
        <w:ind w:left="1149" w:hanging="181"/>
      </w:pPr>
      <w:rPr>
        <w:rFonts w:hint="default"/>
        <w:lang w:val="en-au" w:eastAsia="en-au" w:bidi="en-au"/>
      </w:rPr>
    </w:lvl>
    <w:lvl w:ilvl="5">
      <w:start w:val="0"/>
      <w:numFmt w:val="bullet"/>
      <w:lvlText w:val="•"/>
      <w:lvlJc w:val="left"/>
      <w:pPr>
        <w:ind w:left="1391" w:hanging="181"/>
      </w:pPr>
      <w:rPr>
        <w:rFonts w:hint="default"/>
        <w:lang w:val="en-au" w:eastAsia="en-au" w:bidi="en-au"/>
      </w:rPr>
    </w:lvl>
    <w:lvl w:ilvl="6">
      <w:start w:val="0"/>
      <w:numFmt w:val="bullet"/>
      <w:lvlText w:val="•"/>
      <w:lvlJc w:val="left"/>
      <w:pPr>
        <w:ind w:left="1634" w:hanging="181"/>
      </w:pPr>
      <w:rPr>
        <w:rFonts w:hint="default"/>
        <w:lang w:val="en-au" w:eastAsia="en-au" w:bidi="en-au"/>
      </w:rPr>
    </w:lvl>
    <w:lvl w:ilvl="7">
      <w:start w:val="0"/>
      <w:numFmt w:val="bullet"/>
      <w:lvlText w:val="•"/>
      <w:lvlJc w:val="left"/>
      <w:pPr>
        <w:ind w:left="1876" w:hanging="181"/>
      </w:pPr>
      <w:rPr>
        <w:rFonts w:hint="default"/>
        <w:lang w:val="en-au" w:eastAsia="en-au" w:bidi="en-au"/>
      </w:rPr>
    </w:lvl>
    <w:lvl w:ilvl="8">
      <w:start w:val="0"/>
      <w:numFmt w:val="bullet"/>
      <w:lvlText w:val="•"/>
      <w:lvlJc w:val="left"/>
      <w:pPr>
        <w:ind w:left="2118" w:hanging="181"/>
      </w:pPr>
      <w:rPr>
        <w:rFonts w:hint="default"/>
        <w:lang w:val="en-au" w:eastAsia="en-au" w:bidi="en-au"/>
      </w:rPr>
    </w:lvl>
  </w:abstractNum>
  <w:abstractNum w:abstractNumId="12">
    <w:multiLevelType w:val="hybridMultilevel"/>
    <w:lvl w:ilvl="0">
      <w:start w:val="1"/>
      <w:numFmt w:val="decimal"/>
      <w:lvlText w:val="%1."/>
      <w:lvlJc w:val="left"/>
      <w:pPr>
        <w:ind w:left="169" w:hanging="170"/>
        <w:jc w:val="left"/>
      </w:pPr>
      <w:rPr>
        <w:rFonts w:hint="default" w:ascii="Verdana" w:hAnsi="Verdana" w:eastAsia="Verdana" w:cs="Verdana"/>
        <w:w w:val="103"/>
        <w:sz w:val="9"/>
        <w:szCs w:val="9"/>
        <w:lang w:val="en-au" w:eastAsia="en-au" w:bidi="en-au"/>
      </w:rPr>
    </w:lvl>
    <w:lvl w:ilvl="1">
      <w:start w:val="0"/>
      <w:numFmt w:val="bullet"/>
      <w:lvlText w:val="•"/>
      <w:lvlJc w:val="left"/>
      <w:pPr>
        <w:ind w:left="868" w:hanging="170"/>
      </w:pPr>
      <w:rPr>
        <w:rFonts w:hint="default"/>
        <w:lang w:val="en-au" w:eastAsia="en-au" w:bidi="en-au"/>
      </w:rPr>
    </w:lvl>
    <w:lvl w:ilvl="2">
      <w:start w:val="0"/>
      <w:numFmt w:val="bullet"/>
      <w:lvlText w:val="•"/>
      <w:lvlJc w:val="left"/>
      <w:pPr>
        <w:ind w:left="1577" w:hanging="170"/>
      </w:pPr>
      <w:rPr>
        <w:rFonts w:hint="default"/>
        <w:lang w:val="en-au" w:eastAsia="en-au" w:bidi="en-au"/>
      </w:rPr>
    </w:lvl>
    <w:lvl w:ilvl="3">
      <w:start w:val="0"/>
      <w:numFmt w:val="bullet"/>
      <w:lvlText w:val="•"/>
      <w:lvlJc w:val="left"/>
      <w:pPr>
        <w:ind w:left="2286" w:hanging="170"/>
      </w:pPr>
      <w:rPr>
        <w:rFonts w:hint="default"/>
        <w:lang w:val="en-au" w:eastAsia="en-au" w:bidi="en-au"/>
      </w:rPr>
    </w:lvl>
    <w:lvl w:ilvl="4">
      <w:start w:val="0"/>
      <w:numFmt w:val="bullet"/>
      <w:lvlText w:val="•"/>
      <w:lvlJc w:val="left"/>
      <w:pPr>
        <w:ind w:left="2995" w:hanging="170"/>
      </w:pPr>
      <w:rPr>
        <w:rFonts w:hint="default"/>
        <w:lang w:val="en-au" w:eastAsia="en-au" w:bidi="en-au"/>
      </w:rPr>
    </w:lvl>
    <w:lvl w:ilvl="5">
      <w:start w:val="0"/>
      <w:numFmt w:val="bullet"/>
      <w:lvlText w:val="•"/>
      <w:lvlJc w:val="left"/>
      <w:pPr>
        <w:ind w:left="3704" w:hanging="170"/>
      </w:pPr>
      <w:rPr>
        <w:rFonts w:hint="default"/>
        <w:lang w:val="en-au" w:eastAsia="en-au" w:bidi="en-au"/>
      </w:rPr>
    </w:lvl>
    <w:lvl w:ilvl="6">
      <w:start w:val="0"/>
      <w:numFmt w:val="bullet"/>
      <w:lvlText w:val="•"/>
      <w:lvlJc w:val="left"/>
      <w:pPr>
        <w:ind w:left="4413" w:hanging="170"/>
      </w:pPr>
      <w:rPr>
        <w:rFonts w:hint="default"/>
        <w:lang w:val="en-au" w:eastAsia="en-au" w:bidi="en-au"/>
      </w:rPr>
    </w:lvl>
    <w:lvl w:ilvl="7">
      <w:start w:val="0"/>
      <w:numFmt w:val="bullet"/>
      <w:lvlText w:val="•"/>
      <w:lvlJc w:val="left"/>
      <w:pPr>
        <w:ind w:left="5122" w:hanging="170"/>
      </w:pPr>
      <w:rPr>
        <w:rFonts w:hint="default"/>
        <w:lang w:val="en-au" w:eastAsia="en-au" w:bidi="en-au"/>
      </w:rPr>
    </w:lvl>
    <w:lvl w:ilvl="8">
      <w:start w:val="0"/>
      <w:numFmt w:val="bullet"/>
      <w:lvlText w:val="•"/>
      <w:lvlJc w:val="left"/>
      <w:pPr>
        <w:ind w:left="5831" w:hanging="170"/>
      </w:pPr>
      <w:rPr>
        <w:rFonts w:hint="default"/>
        <w:lang w:val="en-au" w:eastAsia="en-au" w:bidi="en-au"/>
      </w:rPr>
    </w:lvl>
  </w:abstractNum>
  <w:abstractNum w:abstractNumId="15">
    <w:multiLevelType w:val="hybridMultilevel"/>
    <w:lvl w:ilvl="0">
      <w:start w:val="0"/>
      <w:numFmt w:val="bullet"/>
      <w:lvlText w:val="•"/>
      <w:lvlJc w:val="left"/>
      <w:pPr>
        <w:ind w:left="283" w:hanging="181"/>
      </w:pPr>
      <w:rPr>
        <w:rFonts w:hint="default" w:ascii="Arial" w:hAnsi="Arial" w:eastAsia="Arial" w:cs="Arial"/>
        <w:w w:val="107"/>
        <w:sz w:val="10"/>
        <w:szCs w:val="10"/>
        <w:lang w:val="en-au" w:eastAsia="en-au" w:bidi="en-au"/>
      </w:rPr>
    </w:lvl>
    <w:lvl w:ilvl="1">
      <w:start w:val="0"/>
      <w:numFmt w:val="bullet"/>
      <w:lvlText w:val="•"/>
      <w:lvlJc w:val="left"/>
      <w:pPr>
        <w:ind w:left="496" w:hanging="181"/>
      </w:pPr>
      <w:rPr>
        <w:rFonts w:hint="default"/>
        <w:lang w:val="en-au" w:eastAsia="en-au" w:bidi="en-au"/>
      </w:rPr>
    </w:lvl>
    <w:lvl w:ilvl="2">
      <w:start w:val="0"/>
      <w:numFmt w:val="bullet"/>
      <w:lvlText w:val="•"/>
      <w:lvlJc w:val="left"/>
      <w:pPr>
        <w:ind w:left="712" w:hanging="181"/>
      </w:pPr>
      <w:rPr>
        <w:rFonts w:hint="default"/>
        <w:lang w:val="en-au" w:eastAsia="en-au" w:bidi="en-au"/>
      </w:rPr>
    </w:lvl>
    <w:lvl w:ilvl="3">
      <w:start w:val="0"/>
      <w:numFmt w:val="bullet"/>
      <w:lvlText w:val="•"/>
      <w:lvlJc w:val="left"/>
      <w:pPr>
        <w:ind w:left="928" w:hanging="181"/>
      </w:pPr>
      <w:rPr>
        <w:rFonts w:hint="default"/>
        <w:lang w:val="en-au" w:eastAsia="en-au" w:bidi="en-au"/>
      </w:rPr>
    </w:lvl>
    <w:lvl w:ilvl="4">
      <w:start w:val="0"/>
      <w:numFmt w:val="bullet"/>
      <w:lvlText w:val="•"/>
      <w:lvlJc w:val="left"/>
      <w:pPr>
        <w:ind w:left="1145" w:hanging="181"/>
      </w:pPr>
      <w:rPr>
        <w:rFonts w:hint="default"/>
        <w:lang w:val="en-au" w:eastAsia="en-au" w:bidi="en-au"/>
      </w:rPr>
    </w:lvl>
    <w:lvl w:ilvl="5">
      <w:start w:val="0"/>
      <w:numFmt w:val="bullet"/>
      <w:lvlText w:val="•"/>
      <w:lvlJc w:val="left"/>
      <w:pPr>
        <w:ind w:left="1361" w:hanging="181"/>
      </w:pPr>
      <w:rPr>
        <w:rFonts w:hint="default"/>
        <w:lang w:val="en-au" w:eastAsia="en-au" w:bidi="en-au"/>
      </w:rPr>
    </w:lvl>
    <w:lvl w:ilvl="6">
      <w:start w:val="0"/>
      <w:numFmt w:val="bullet"/>
      <w:lvlText w:val="•"/>
      <w:lvlJc w:val="left"/>
      <w:pPr>
        <w:ind w:left="1577" w:hanging="181"/>
      </w:pPr>
      <w:rPr>
        <w:rFonts w:hint="default"/>
        <w:lang w:val="en-au" w:eastAsia="en-au" w:bidi="en-au"/>
      </w:rPr>
    </w:lvl>
    <w:lvl w:ilvl="7">
      <w:start w:val="0"/>
      <w:numFmt w:val="bullet"/>
      <w:lvlText w:val="•"/>
      <w:lvlJc w:val="left"/>
      <w:pPr>
        <w:ind w:left="1794" w:hanging="181"/>
      </w:pPr>
      <w:rPr>
        <w:rFonts w:hint="default"/>
        <w:lang w:val="en-au" w:eastAsia="en-au" w:bidi="en-au"/>
      </w:rPr>
    </w:lvl>
    <w:lvl w:ilvl="8">
      <w:start w:val="0"/>
      <w:numFmt w:val="bullet"/>
      <w:lvlText w:val="•"/>
      <w:lvlJc w:val="left"/>
      <w:pPr>
        <w:ind w:left="2010" w:hanging="181"/>
      </w:pPr>
      <w:rPr>
        <w:rFonts w:hint="default"/>
        <w:lang w:val="en-au" w:eastAsia="en-au" w:bidi="en-au"/>
      </w:rPr>
    </w:lvl>
  </w:abstractNum>
  <w:abstractNum w:abstractNumId="10">
    <w:multiLevelType w:val="hybridMultilevel"/>
    <w:lvl w:ilvl="0">
      <w:start w:val="0"/>
      <w:numFmt w:val="bullet"/>
      <w:lvlText w:val="•"/>
      <w:lvlJc w:val="left"/>
      <w:pPr>
        <w:ind w:left="275" w:hanging="181"/>
      </w:pPr>
      <w:rPr>
        <w:rFonts w:hint="default" w:ascii="Arial" w:hAnsi="Arial" w:eastAsia="Arial" w:cs="Arial"/>
        <w:w w:val="91"/>
        <w:sz w:val="16"/>
        <w:szCs w:val="16"/>
        <w:lang w:val="en-au" w:eastAsia="en-au" w:bidi="en-au"/>
      </w:rPr>
    </w:lvl>
    <w:lvl w:ilvl="1">
      <w:start w:val="0"/>
      <w:numFmt w:val="bullet"/>
      <w:lvlText w:val="•"/>
      <w:lvlJc w:val="left"/>
      <w:pPr>
        <w:ind w:left="554" w:hanging="181"/>
      </w:pPr>
      <w:rPr>
        <w:rFonts w:hint="default"/>
        <w:lang w:val="en-au" w:eastAsia="en-au" w:bidi="en-au"/>
      </w:rPr>
    </w:lvl>
    <w:lvl w:ilvl="2">
      <w:start w:val="0"/>
      <w:numFmt w:val="bullet"/>
      <w:lvlText w:val="•"/>
      <w:lvlJc w:val="left"/>
      <w:pPr>
        <w:ind w:left="829" w:hanging="181"/>
      </w:pPr>
      <w:rPr>
        <w:rFonts w:hint="default"/>
        <w:lang w:val="en-au" w:eastAsia="en-au" w:bidi="en-au"/>
      </w:rPr>
    </w:lvl>
    <w:lvl w:ilvl="3">
      <w:start w:val="0"/>
      <w:numFmt w:val="bullet"/>
      <w:lvlText w:val="•"/>
      <w:lvlJc w:val="left"/>
      <w:pPr>
        <w:ind w:left="1103" w:hanging="181"/>
      </w:pPr>
      <w:rPr>
        <w:rFonts w:hint="default"/>
        <w:lang w:val="en-au" w:eastAsia="en-au" w:bidi="en-au"/>
      </w:rPr>
    </w:lvl>
    <w:lvl w:ilvl="4">
      <w:start w:val="0"/>
      <w:numFmt w:val="bullet"/>
      <w:lvlText w:val="•"/>
      <w:lvlJc w:val="left"/>
      <w:pPr>
        <w:ind w:left="1378" w:hanging="181"/>
      </w:pPr>
      <w:rPr>
        <w:rFonts w:hint="default"/>
        <w:lang w:val="en-au" w:eastAsia="en-au" w:bidi="en-au"/>
      </w:rPr>
    </w:lvl>
    <w:lvl w:ilvl="5">
      <w:start w:val="0"/>
      <w:numFmt w:val="bullet"/>
      <w:lvlText w:val="•"/>
      <w:lvlJc w:val="left"/>
      <w:pPr>
        <w:ind w:left="1653" w:hanging="181"/>
      </w:pPr>
      <w:rPr>
        <w:rFonts w:hint="default"/>
        <w:lang w:val="en-au" w:eastAsia="en-au" w:bidi="en-au"/>
      </w:rPr>
    </w:lvl>
    <w:lvl w:ilvl="6">
      <w:start w:val="0"/>
      <w:numFmt w:val="bullet"/>
      <w:lvlText w:val="•"/>
      <w:lvlJc w:val="left"/>
      <w:pPr>
        <w:ind w:left="1927" w:hanging="181"/>
      </w:pPr>
      <w:rPr>
        <w:rFonts w:hint="default"/>
        <w:lang w:val="en-au" w:eastAsia="en-au" w:bidi="en-au"/>
      </w:rPr>
    </w:lvl>
    <w:lvl w:ilvl="7">
      <w:start w:val="0"/>
      <w:numFmt w:val="bullet"/>
      <w:lvlText w:val="•"/>
      <w:lvlJc w:val="left"/>
      <w:pPr>
        <w:ind w:left="2202" w:hanging="181"/>
      </w:pPr>
      <w:rPr>
        <w:rFonts w:hint="default"/>
        <w:lang w:val="en-au" w:eastAsia="en-au" w:bidi="en-au"/>
      </w:rPr>
    </w:lvl>
    <w:lvl w:ilvl="8">
      <w:start w:val="0"/>
      <w:numFmt w:val="bullet"/>
      <w:lvlText w:val="•"/>
      <w:lvlJc w:val="left"/>
      <w:pPr>
        <w:ind w:left="2476" w:hanging="181"/>
      </w:pPr>
      <w:rPr>
        <w:rFonts w:hint="default"/>
        <w:lang w:val="en-au" w:eastAsia="en-au" w:bidi="en-au"/>
      </w:rPr>
    </w:lvl>
  </w:abstractNum>
  <w:abstractNum w:abstractNumId="9">
    <w:multiLevelType w:val="hybridMultilevel"/>
    <w:lvl w:ilvl="0">
      <w:start w:val="4"/>
      <w:numFmt w:val="decimal"/>
      <w:lvlText w:val="%1"/>
      <w:lvlJc w:val="left"/>
      <w:pPr>
        <w:ind w:left="1060" w:hanging="360"/>
        <w:jc w:val="left"/>
      </w:pPr>
      <w:rPr>
        <w:rFonts w:hint="default"/>
        <w:lang w:val="en-au" w:eastAsia="en-au" w:bidi="en-au"/>
      </w:rPr>
    </w:lvl>
    <w:lvl w:ilvl="1">
      <w:start w:val="1"/>
      <w:numFmt w:val="decimal"/>
      <w:lvlText w:val="%1.%2"/>
      <w:lvlJc w:val="left"/>
      <w:pPr>
        <w:ind w:left="1060" w:hanging="360"/>
        <w:jc w:val="left"/>
      </w:pPr>
      <w:rPr>
        <w:rFonts w:hint="default" w:ascii="Verdana" w:hAnsi="Verdana" w:eastAsia="Verdana" w:cs="Verdana"/>
        <w:spacing w:val="-1"/>
        <w:w w:val="100"/>
        <w:sz w:val="18"/>
        <w:szCs w:val="18"/>
        <w:lang w:val="en-au" w:eastAsia="en-au" w:bidi="en-au"/>
      </w:rPr>
    </w:lvl>
    <w:lvl w:ilvl="2">
      <w:start w:val="0"/>
      <w:numFmt w:val="bullet"/>
      <w:lvlText w:val="•"/>
      <w:lvlJc w:val="left"/>
      <w:pPr>
        <w:ind w:left="2937" w:hanging="360"/>
      </w:pPr>
      <w:rPr>
        <w:rFonts w:hint="default"/>
        <w:lang w:val="en-au" w:eastAsia="en-au" w:bidi="en-au"/>
      </w:rPr>
    </w:lvl>
    <w:lvl w:ilvl="3">
      <w:start w:val="0"/>
      <w:numFmt w:val="bullet"/>
      <w:lvlText w:val="•"/>
      <w:lvlJc w:val="left"/>
      <w:pPr>
        <w:ind w:left="3875" w:hanging="360"/>
      </w:pPr>
      <w:rPr>
        <w:rFonts w:hint="default"/>
        <w:lang w:val="en-au" w:eastAsia="en-au" w:bidi="en-au"/>
      </w:rPr>
    </w:lvl>
    <w:lvl w:ilvl="4">
      <w:start w:val="0"/>
      <w:numFmt w:val="bullet"/>
      <w:lvlText w:val="•"/>
      <w:lvlJc w:val="left"/>
      <w:pPr>
        <w:ind w:left="4814" w:hanging="360"/>
      </w:pPr>
      <w:rPr>
        <w:rFonts w:hint="default"/>
        <w:lang w:val="en-au" w:eastAsia="en-au" w:bidi="en-au"/>
      </w:rPr>
    </w:lvl>
    <w:lvl w:ilvl="5">
      <w:start w:val="0"/>
      <w:numFmt w:val="bullet"/>
      <w:lvlText w:val="•"/>
      <w:lvlJc w:val="left"/>
      <w:pPr>
        <w:ind w:left="5753" w:hanging="360"/>
      </w:pPr>
      <w:rPr>
        <w:rFonts w:hint="default"/>
        <w:lang w:val="en-au" w:eastAsia="en-au" w:bidi="en-au"/>
      </w:rPr>
    </w:lvl>
    <w:lvl w:ilvl="6">
      <w:start w:val="0"/>
      <w:numFmt w:val="bullet"/>
      <w:lvlText w:val="•"/>
      <w:lvlJc w:val="left"/>
      <w:pPr>
        <w:ind w:left="6691" w:hanging="360"/>
      </w:pPr>
      <w:rPr>
        <w:rFonts w:hint="default"/>
        <w:lang w:val="en-au" w:eastAsia="en-au" w:bidi="en-au"/>
      </w:rPr>
    </w:lvl>
    <w:lvl w:ilvl="7">
      <w:start w:val="0"/>
      <w:numFmt w:val="bullet"/>
      <w:lvlText w:val="•"/>
      <w:lvlJc w:val="left"/>
      <w:pPr>
        <w:ind w:left="7630" w:hanging="360"/>
      </w:pPr>
      <w:rPr>
        <w:rFonts w:hint="default"/>
        <w:lang w:val="en-au" w:eastAsia="en-au" w:bidi="en-au"/>
      </w:rPr>
    </w:lvl>
    <w:lvl w:ilvl="8">
      <w:start w:val="0"/>
      <w:numFmt w:val="bullet"/>
      <w:lvlText w:val="•"/>
      <w:lvlJc w:val="left"/>
      <w:pPr>
        <w:ind w:left="8569" w:hanging="360"/>
      </w:pPr>
      <w:rPr>
        <w:rFonts w:hint="default"/>
        <w:lang w:val="en-au" w:eastAsia="en-au" w:bidi="en-au"/>
      </w:rPr>
    </w:lvl>
  </w:abstractNum>
  <w:abstractNum w:abstractNumId="8">
    <w:multiLevelType w:val="hybridMultilevel"/>
    <w:lvl w:ilvl="0">
      <w:start w:val="3"/>
      <w:numFmt w:val="decimal"/>
      <w:lvlText w:val="%1"/>
      <w:lvlJc w:val="left"/>
      <w:pPr>
        <w:ind w:left="1060" w:hanging="360"/>
        <w:jc w:val="left"/>
      </w:pPr>
      <w:rPr>
        <w:rFonts w:hint="default"/>
        <w:lang w:val="en-au" w:eastAsia="en-au" w:bidi="en-au"/>
      </w:rPr>
    </w:lvl>
    <w:lvl w:ilvl="1">
      <w:start w:val="1"/>
      <w:numFmt w:val="decimal"/>
      <w:lvlText w:val="%1.%2"/>
      <w:lvlJc w:val="left"/>
      <w:pPr>
        <w:ind w:left="1060" w:hanging="360"/>
        <w:jc w:val="left"/>
      </w:pPr>
      <w:rPr>
        <w:rFonts w:hint="default" w:ascii="Verdana" w:hAnsi="Verdana" w:eastAsia="Verdana" w:cs="Verdana"/>
        <w:spacing w:val="-1"/>
        <w:w w:val="100"/>
        <w:sz w:val="18"/>
        <w:szCs w:val="18"/>
        <w:lang w:val="en-au" w:eastAsia="en-au" w:bidi="en-au"/>
      </w:rPr>
    </w:lvl>
    <w:lvl w:ilvl="2">
      <w:start w:val="1"/>
      <w:numFmt w:val="decimal"/>
      <w:lvlText w:val="%1.%2.%3"/>
      <w:lvlJc w:val="left"/>
      <w:pPr>
        <w:ind w:left="1694" w:hanging="569"/>
        <w:jc w:val="left"/>
      </w:pPr>
      <w:rPr>
        <w:rFonts w:hint="default" w:ascii="Verdana" w:hAnsi="Verdana" w:eastAsia="Verdana" w:cs="Verdana"/>
        <w:spacing w:val="-1"/>
        <w:w w:val="100"/>
        <w:sz w:val="18"/>
        <w:szCs w:val="18"/>
        <w:lang w:val="en-au" w:eastAsia="en-au" w:bidi="en-au"/>
      </w:rPr>
    </w:lvl>
    <w:lvl w:ilvl="3">
      <w:start w:val="0"/>
      <w:numFmt w:val="bullet"/>
      <w:lvlText w:val="•"/>
      <w:lvlJc w:val="left"/>
      <w:pPr>
        <w:ind w:left="3643" w:hanging="569"/>
      </w:pPr>
      <w:rPr>
        <w:rFonts w:hint="default"/>
        <w:lang w:val="en-au" w:eastAsia="en-au" w:bidi="en-au"/>
      </w:rPr>
    </w:lvl>
    <w:lvl w:ilvl="4">
      <w:start w:val="0"/>
      <w:numFmt w:val="bullet"/>
      <w:lvlText w:val="•"/>
      <w:lvlJc w:val="left"/>
      <w:pPr>
        <w:ind w:left="4615" w:hanging="569"/>
      </w:pPr>
      <w:rPr>
        <w:rFonts w:hint="default"/>
        <w:lang w:val="en-au" w:eastAsia="en-au" w:bidi="en-au"/>
      </w:rPr>
    </w:lvl>
    <w:lvl w:ilvl="5">
      <w:start w:val="0"/>
      <w:numFmt w:val="bullet"/>
      <w:lvlText w:val="•"/>
      <w:lvlJc w:val="left"/>
      <w:pPr>
        <w:ind w:left="5587" w:hanging="569"/>
      </w:pPr>
      <w:rPr>
        <w:rFonts w:hint="default"/>
        <w:lang w:val="en-au" w:eastAsia="en-au" w:bidi="en-au"/>
      </w:rPr>
    </w:lvl>
    <w:lvl w:ilvl="6">
      <w:start w:val="0"/>
      <w:numFmt w:val="bullet"/>
      <w:lvlText w:val="•"/>
      <w:lvlJc w:val="left"/>
      <w:pPr>
        <w:ind w:left="6559" w:hanging="569"/>
      </w:pPr>
      <w:rPr>
        <w:rFonts w:hint="default"/>
        <w:lang w:val="en-au" w:eastAsia="en-au" w:bidi="en-au"/>
      </w:rPr>
    </w:lvl>
    <w:lvl w:ilvl="7">
      <w:start w:val="0"/>
      <w:numFmt w:val="bullet"/>
      <w:lvlText w:val="•"/>
      <w:lvlJc w:val="left"/>
      <w:pPr>
        <w:ind w:left="7530" w:hanging="569"/>
      </w:pPr>
      <w:rPr>
        <w:rFonts w:hint="default"/>
        <w:lang w:val="en-au" w:eastAsia="en-au" w:bidi="en-au"/>
      </w:rPr>
    </w:lvl>
    <w:lvl w:ilvl="8">
      <w:start w:val="0"/>
      <w:numFmt w:val="bullet"/>
      <w:lvlText w:val="•"/>
      <w:lvlJc w:val="left"/>
      <w:pPr>
        <w:ind w:left="8502" w:hanging="569"/>
      </w:pPr>
      <w:rPr>
        <w:rFonts w:hint="default"/>
        <w:lang w:val="en-au" w:eastAsia="en-au" w:bidi="en-au"/>
      </w:rPr>
    </w:lvl>
  </w:abstractNum>
  <w:abstractNum w:abstractNumId="7">
    <w:multiLevelType w:val="hybridMultilevel"/>
    <w:lvl w:ilvl="0">
      <w:start w:val="2"/>
      <w:numFmt w:val="decimal"/>
      <w:lvlText w:val="%1"/>
      <w:lvlJc w:val="left"/>
      <w:pPr>
        <w:ind w:left="1060" w:hanging="360"/>
        <w:jc w:val="left"/>
      </w:pPr>
      <w:rPr>
        <w:rFonts w:hint="default"/>
        <w:lang w:val="en-au" w:eastAsia="en-au" w:bidi="en-au"/>
      </w:rPr>
    </w:lvl>
    <w:lvl w:ilvl="1">
      <w:start w:val="1"/>
      <w:numFmt w:val="decimal"/>
      <w:lvlText w:val="%1.%2"/>
      <w:lvlJc w:val="left"/>
      <w:pPr>
        <w:ind w:left="1060" w:hanging="360"/>
        <w:jc w:val="left"/>
      </w:pPr>
      <w:rPr>
        <w:rFonts w:hint="default" w:ascii="Verdana" w:hAnsi="Verdana" w:eastAsia="Verdana" w:cs="Verdana"/>
        <w:spacing w:val="-1"/>
        <w:w w:val="100"/>
        <w:sz w:val="18"/>
        <w:szCs w:val="18"/>
        <w:lang w:val="en-au" w:eastAsia="en-au" w:bidi="en-au"/>
      </w:rPr>
    </w:lvl>
    <w:lvl w:ilvl="2">
      <w:start w:val="0"/>
      <w:numFmt w:val="bullet"/>
      <w:lvlText w:val="•"/>
      <w:lvlJc w:val="left"/>
      <w:pPr>
        <w:ind w:left="2937" w:hanging="360"/>
      </w:pPr>
      <w:rPr>
        <w:rFonts w:hint="default"/>
        <w:lang w:val="en-au" w:eastAsia="en-au" w:bidi="en-au"/>
      </w:rPr>
    </w:lvl>
    <w:lvl w:ilvl="3">
      <w:start w:val="0"/>
      <w:numFmt w:val="bullet"/>
      <w:lvlText w:val="•"/>
      <w:lvlJc w:val="left"/>
      <w:pPr>
        <w:ind w:left="3875" w:hanging="360"/>
      </w:pPr>
      <w:rPr>
        <w:rFonts w:hint="default"/>
        <w:lang w:val="en-au" w:eastAsia="en-au" w:bidi="en-au"/>
      </w:rPr>
    </w:lvl>
    <w:lvl w:ilvl="4">
      <w:start w:val="0"/>
      <w:numFmt w:val="bullet"/>
      <w:lvlText w:val="•"/>
      <w:lvlJc w:val="left"/>
      <w:pPr>
        <w:ind w:left="4814" w:hanging="360"/>
      </w:pPr>
      <w:rPr>
        <w:rFonts w:hint="default"/>
        <w:lang w:val="en-au" w:eastAsia="en-au" w:bidi="en-au"/>
      </w:rPr>
    </w:lvl>
    <w:lvl w:ilvl="5">
      <w:start w:val="0"/>
      <w:numFmt w:val="bullet"/>
      <w:lvlText w:val="•"/>
      <w:lvlJc w:val="left"/>
      <w:pPr>
        <w:ind w:left="5753" w:hanging="360"/>
      </w:pPr>
      <w:rPr>
        <w:rFonts w:hint="default"/>
        <w:lang w:val="en-au" w:eastAsia="en-au" w:bidi="en-au"/>
      </w:rPr>
    </w:lvl>
    <w:lvl w:ilvl="6">
      <w:start w:val="0"/>
      <w:numFmt w:val="bullet"/>
      <w:lvlText w:val="•"/>
      <w:lvlJc w:val="left"/>
      <w:pPr>
        <w:ind w:left="6691" w:hanging="360"/>
      </w:pPr>
      <w:rPr>
        <w:rFonts w:hint="default"/>
        <w:lang w:val="en-au" w:eastAsia="en-au" w:bidi="en-au"/>
      </w:rPr>
    </w:lvl>
    <w:lvl w:ilvl="7">
      <w:start w:val="0"/>
      <w:numFmt w:val="bullet"/>
      <w:lvlText w:val="•"/>
      <w:lvlJc w:val="left"/>
      <w:pPr>
        <w:ind w:left="7630" w:hanging="360"/>
      </w:pPr>
      <w:rPr>
        <w:rFonts w:hint="default"/>
        <w:lang w:val="en-au" w:eastAsia="en-au" w:bidi="en-au"/>
      </w:rPr>
    </w:lvl>
    <w:lvl w:ilvl="8">
      <w:start w:val="0"/>
      <w:numFmt w:val="bullet"/>
      <w:lvlText w:val="•"/>
      <w:lvlJc w:val="left"/>
      <w:pPr>
        <w:ind w:left="8569" w:hanging="360"/>
      </w:pPr>
      <w:rPr>
        <w:rFonts w:hint="default"/>
        <w:lang w:val="en-au" w:eastAsia="en-au" w:bidi="en-au"/>
      </w:rPr>
    </w:lvl>
  </w:abstractNum>
  <w:abstractNum w:abstractNumId="6">
    <w:multiLevelType w:val="hybridMultilevel"/>
    <w:lvl w:ilvl="0">
      <w:start w:val="1"/>
      <w:numFmt w:val="decimal"/>
      <w:lvlText w:val="%1"/>
      <w:lvlJc w:val="left"/>
      <w:pPr>
        <w:ind w:left="1060" w:hanging="360"/>
        <w:jc w:val="left"/>
      </w:pPr>
      <w:rPr>
        <w:rFonts w:hint="default"/>
        <w:lang w:val="en-au" w:eastAsia="en-au" w:bidi="en-au"/>
      </w:rPr>
    </w:lvl>
    <w:lvl w:ilvl="1">
      <w:start w:val="1"/>
      <w:numFmt w:val="decimal"/>
      <w:lvlText w:val="%1.%2"/>
      <w:lvlJc w:val="left"/>
      <w:pPr>
        <w:ind w:left="1060" w:hanging="360"/>
        <w:jc w:val="left"/>
      </w:pPr>
      <w:rPr>
        <w:rFonts w:hint="default" w:ascii="Verdana" w:hAnsi="Verdana" w:eastAsia="Verdana" w:cs="Verdana"/>
        <w:spacing w:val="-1"/>
        <w:w w:val="100"/>
        <w:sz w:val="18"/>
        <w:szCs w:val="18"/>
        <w:lang w:val="en-au" w:eastAsia="en-au" w:bidi="en-au"/>
      </w:rPr>
    </w:lvl>
    <w:lvl w:ilvl="2">
      <w:start w:val="0"/>
      <w:numFmt w:val="bullet"/>
      <w:lvlText w:val="•"/>
      <w:lvlJc w:val="left"/>
      <w:pPr>
        <w:ind w:left="2937" w:hanging="360"/>
      </w:pPr>
      <w:rPr>
        <w:rFonts w:hint="default"/>
        <w:lang w:val="en-au" w:eastAsia="en-au" w:bidi="en-au"/>
      </w:rPr>
    </w:lvl>
    <w:lvl w:ilvl="3">
      <w:start w:val="0"/>
      <w:numFmt w:val="bullet"/>
      <w:lvlText w:val="•"/>
      <w:lvlJc w:val="left"/>
      <w:pPr>
        <w:ind w:left="3875" w:hanging="360"/>
      </w:pPr>
      <w:rPr>
        <w:rFonts w:hint="default"/>
        <w:lang w:val="en-au" w:eastAsia="en-au" w:bidi="en-au"/>
      </w:rPr>
    </w:lvl>
    <w:lvl w:ilvl="4">
      <w:start w:val="0"/>
      <w:numFmt w:val="bullet"/>
      <w:lvlText w:val="•"/>
      <w:lvlJc w:val="left"/>
      <w:pPr>
        <w:ind w:left="4814" w:hanging="360"/>
      </w:pPr>
      <w:rPr>
        <w:rFonts w:hint="default"/>
        <w:lang w:val="en-au" w:eastAsia="en-au" w:bidi="en-au"/>
      </w:rPr>
    </w:lvl>
    <w:lvl w:ilvl="5">
      <w:start w:val="0"/>
      <w:numFmt w:val="bullet"/>
      <w:lvlText w:val="•"/>
      <w:lvlJc w:val="left"/>
      <w:pPr>
        <w:ind w:left="5753" w:hanging="360"/>
      </w:pPr>
      <w:rPr>
        <w:rFonts w:hint="default"/>
        <w:lang w:val="en-au" w:eastAsia="en-au" w:bidi="en-au"/>
      </w:rPr>
    </w:lvl>
    <w:lvl w:ilvl="6">
      <w:start w:val="0"/>
      <w:numFmt w:val="bullet"/>
      <w:lvlText w:val="•"/>
      <w:lvlJc w:val="left"/>
      <w:pPr>
        <w:ind w:left="6691" w:hanging="360"/>
      </w:pPr>
      <w:rPr>
        <w:rFonts w:hint="default"/>
        <w:lang w:val="en-au" w:eastAsia="en-au" w:bidi="en-au"/>
      </w:rPr>
    </w:lvl>
    <w:lvl w:ilvl="7">
      <w:start w:val="0"/>
      <w:numFmt w:val="bullet"/>
      <w:lvlText w:val="•"/>
      <w:lvlJc w:val="left"/>
      <w:pPr>
        <w:ind w:left="7630" w:hanging="360"/>
      </w:pPr>
      <w:rPr>
        <w:rFonts w:hint="default"/>
        <w:lang w:val="en-au" w:eastAsia="en-au" w:bidi="en-au"/>
      </w:rPr>
    </w:lvl>
    <w:lvl w:ilvl="8">
      <w:start w:val="0"/>
      <w:numFmt w:val="bullet"/>
      <w:lvlText w:val="•"/>
      <w:lvlJc w:val="left"/>
      <w:pPr>
        <w:ind w:left="8569" w:hanging="360"/>
      </w:pPr>
      <w:rPr>
        <w:rFonts w:hint="default"/>
        <w:lang w:val="en-au" w:eastAsia="en-au" w:bidi="en-au"/>
      </w:rPr>
    </w:lvl>
  </w:abstractNum>
  <w:abstractNum w:abstractNumId="5">
    <w:multiLevelType w:val="hybridMultilevel"/>
    <w:lvl w:ilvl="0">
      <w:start w:val="1"/>
      <w:numFmt w:val="decimal"/>
      <w:lvlText w:val="%1."/>
      <w:lvlJc w:val="left"/>
      <w:pPr>
        <w:ind w:left="1060" w:hanging="360"/>
        <w:jc w:val="left"/>
      </w:pPr>
      <w:rPr>
        <w:rFonts w:hint="default" w:ascii="Verdana" w:hAnsi="Verdana" w:eastAsia="Verdana" w:cs="Verdana"/>
        <w:spacing w:val="-11"/>
        <w:w w:val="100"/>
        <w:sz w:val="18"/>
        <w:szCs w:val="18"/>
        <w:lang w:val="en-au" w:eastAsia="en-au" w:bidi="en-au"/>
      </w:rPr>
    </w:lvl>
    <w:lvl w:ilvl="1">
      <w:start w:val="1"/>
      <w:numFmt w:val="decimal"/>
      <w:lvlText w:val="%2."/>
      <w:lvlJc w:val="left"/>
      <w:pPr>
        <w:ind w:left="1931" w:hanging="360"/>
        <w:jc w:val="right"/>
      </w:pPr>
      <w:rPr>
        <w:rFonts w:hint="default" w:ascii="Verdana" w:hAnsi="Verdana" w:eastAsia="Verdana" w:cs="Verdana"/>
        <w:b/>
        <w:bCs/>
        <w:color w:val="EC8A00"/>
        <w:spacing w:val="-17"/>
        <w:w w:val="100"/>
        <w:sz w:val="18"/>
        <w:szCs w:val="18"/>
        <w:lang w:val="en-au" w:eastAsia="en-au" w:bidi="en-au"/>
      </w:rPr>
    </w:lvl>
    <w:lvl w:ilvl="2">
      <w:start w:val="0"/>
      <w:numFmt w:val="bullet"/>
      <w:lvlText w:val="•"/>
      <w:lvlJc w:val="left"/>
      <w:pPr>
        <w:ind w:left="2885" w:hanging="360"/>
      </w:pPr>
      <w:rPr>
        <w:rFonts w:hint="default"/>
        <w:lang w:val="en-au" w:eastAsia="en-au" w:bidi="en-au"/>
      </w:rPr>
    </w:lvl>
    <w:lvl w:ilvl="3">
      <w:start w:val="0"/>
      <w:numFmt w:val="bullet"/>
      <w:lvlText w:val="•"/>
      <w:lvlJc w:val="left"/>
      <w:pPr>
        <w:ind w:left="3830" w:hanging="360"/>
      </w:pPr>
      <w:rPr>
        <w:rFonts w:hint="default"/>
        <w:lang w:val="en-au" w:eastAsia="en-au" w:bidi="en-au"/>
      </w:rPr>
    </w:lvl>
    <w:lvl w:ilvl="4">
      <w:start w:val="0"/>
      <w:numFmt w:val="bullet"/>
      <w:lvlText w:val="•"/>
      <w:lvlJc w:val="left"/>
      <w:pPr>
        <w:ind w:left="4775" w:hanging="360"/>
      </w:pPr>
      <w:rPr>
        <w:rFonts w:hint="default"/>
        <w:lang w:val="en-au" w:eastAsia="en-au" w:bidi="en-au"/>
      </w:rPr>
    </w:lvl>
    <w:lvl w:ilvl="5">
      <w:start w:val="0"/>
      <w:numFmt w:val="bullet"/>
      <w:lvlText w:val="•"/>
      <w:lvlJc w:val="left"/>
      <w:pPr>
        <w:ind w:left="5720" w:hanging="360"/>
      </w:pPr>
      <w:rPr>
        <w:rFonts w:hint="default"/>
        <w:lang w:val="en-au" w:eastAsia="en-au" w:bidi="en-au"/>
      </w:rPr>
    </w:lvl>
    <w:lvl w:ilvl="6">
      <w:start w:val="0"/>
      <w:numFmt w:val="bullet"/>
      <w:lvlText w:val="•"/>
      <w:lvlJc w:val="left"/>
      <w:pPr>
        <w:ind w:left="6665" w:hanging="360"/>
      </w:pPr>
      <w:rPr>
        <w:rFonts w:hint="default"/>
        <w:lang w:val="en-au" w:eastAsia="en-au" w:bidi="en-au"/>
      </w:rPr>
    </w:lvl>
    <w:lvl w:ilvl="7">
      <w:start w:val="0"/>
      <w:numFmt w:val="bullet"/>
      <w:lvlText w:val="•"/>
      <w:lvlJc w:val="left"/>
      <w:pPr>
        <w:ind w:left="7610" w:hanging="360"/>
      </w:pPr>
      <w:rPr>
        <w:rFonts w:hint="default"/>
        <w:lang w:val="en-au" w:eastAsia="en-au" w:bidi="en-au"/>
      </w:rPr>
    </w:lvl>
    <w:lvl w:ilvl="8">
      <w:start w:val="0"/>
      <w:numFmt w:val="bullet"/>
      <w:lvlText w:val="•"/>
      <w:lvlJc w:val="left"/>
      <w:pPr>
        <w:ind w:left="8556" w:hanging="360"/>
      </w:pPr>
      <w:rPr>
        <w:rFonts w:hint="default"/>
        <w:lang w:val="en-au" w:eastAsia="en-au" w:bidi="en-au"/>
      </w:rPr>
    </w:lvl>
  </w:abstractNum>
  <w:abstractNum w:abstractNumId="4">
    <w:multiLevelType w:val="hybridMultilevel"/>
    <w:lvl w:ilvl="0">
      <w:start w:val="1"/>
      <w:numFmt w:val="decimal"/>
      <w:lvlText w:val="%1."/>
      <w:lvlJc w:val="left"/>
      <w:pPr>
        <w:ind w:left="1060" w:hanging="360"/>
        <w:jc w:val="left"/>
      </w:pPr>
      <w:rPr>
        <w:rFonts w:hint="default" w:ascii="Verdana" w:hAnsi="Verdana" w:eastAsia="Verdana" w:cs="Verdana"/>
        <w:spacing w:val="-11"/>
        <w:w w:val="100"/>
        <w:sz w:val="18"/>
        <w:szCs w:val="18"/>
        <w:lang w:val="en-au" w:eastAsia="en-au" w:bidi="en-au"/>
      </w:rPr>
    </w:lvl>
    <w:lvl w:ilvl="1">
      <w:start w:val="0"/>
      <w:numFmt w:val="bullet"/>
      <w:lvlText w:val="•"/>
      <w:lvlJc w:val="left"/>
      <w:pPr>
        <w:ind w:left="1998" w:hanging="360"/>
      </w:pPr>
      <w:rPr>
        <w:rFonts w:hint="default"/>
        <w:lang w:val="en-au" w:eastAsia="en-au" w:bidi="en-au"/>
      </w:rPr>
    </w:lvl>
    <w:lvl w:ilvl="2">
      <w:start w:val="0"/>
      <w:numFmt w:val="bullet"/>
      <w:lvlText w:val="•"/>
      <w:lvlJc w:val="left"/>
      <w:pPr>
        <w:ind w:left="2937" w:hanging="360"/>
      </w:pPr>
      <w:rPr>
        <w:rFonts w:hint="default"/>
        <w:lang w:val="en-au" w:eastAsia="en-au" w:bidi="en-au"/>
      </w:rPr>
    </w:lvl>
    <w:lvl w:ilvl="3">
      <w:start w:val="0"/>
      <w:numFmt w:val="bullet"/>
      <w:lvlText w:val="•"/>
      <w:lvlJc w:val="left"/>
      <w:pPr>
        <w:ind w:left="3875" w:hanging="360"/>
      </w:pPr>
      <w:rPr>
        <w:rFonts w:hint="default"/>
        <w:lang w:val="en-au" w:eastAsia="en-au" w:bidi="en-au"/>
      </w:rPr>
    </w:lvl>
    <w:lvl w:ilvl="4">
      <w:start w:val="0"/>
      <w:numFmt w:val="bullet"/>
      <w:lvlText w:val="•"/>
      <w:lvlJc w:val="left"/>
      <w:pPr>
        <w:ind w:left="4814" w:hanging="360"/>
      </w:pPr>
      <w:rPr>
        <w:rFonts w:hint="default"/>
        <w:lang w:val="en-au" w:eastAsia="en-au" w:bidi="en-au"/>
      </w:rPr>
    </w:lvl>
    <w:lvl w:ilvl="5">
      <w:start w:val="0"/>
      <w:numFmt w:val="bullet"/>
      <w:lvlText w:val="•"/>
      <w:lvlJc w:val="left"/>
      <w:pPr>
        <w:ind w:left="5753" w:hanging="360"/>
      </w:pPr>
      <w:rPr>
        <w:rFonts w:hint="default"/>
        <w:lang w:val="en-au" w:eastAsia="en-au" w:bidi="en-au"/>
      </w:rPr>
    </w:lvl>
    <w:lvl w:ilvl="6">
      <w:start w:val="0"/>
      <w:numFmt w:val="bullet"/>
      <w:lvlText w:val="•"/>
      <w:lvlJc w:val="left"/>
      <w:pPr>
        <w:ind w:left="6691" w:hanging="360"/>
      </w:pPr>
      <w:rPr>
        <w:rFonts w:hint="default"/>
        <w:lang w:val="en-au" w:eastAsia="en-au" w:bidi="en-au"/>
      </w:rPr>
    </w:lvl>
    <w:lvl w:ilvl="7">
      <w:start w:val="0"/>
      <w:numFmt w:val="bullet"/>
      <w:lvlText w:val="•"/>
      <w:lvlJc w:val="left"/>
      <w:pPr>
        <w:ind w:left="7630" w:hanging="360"/>
      </w:pPr>
      <w:rPr>
        <w:rFonts w:hint="default"/>
        <w:lang w:val="en-au" w:eastAsia="en-au" w:bidi="en-au"/>
      </w:rPr>
    </w:lvl>
    <w:lvl w:ilvl="8">
      <w:start w:val="0"/>
      <w:numFmt w:val="bullet"/>
      <w:lvlText w:val="•"/>
      <w:lvlJc w:val="left"/>
      <w:pPr>
        <w:ind w:left="8569" w:hanging="360"/>
      </w:pPr>
      <w:rPr>
        <w:rFonts w:hint="default"/>
        <w:lang w:val="en-au" w:eastAsia="en-au" w:bidi="en-au"/>
      </w:rPr>
    </w:lvl>
  </w:abstractNum>
  <w:abstractNum w:abstractNumId="3">
    <w:multiLevelType w:val="hybridMultilevel"/>
    <w:lvl w:ilvl="0">
      <w:start w:val="1"/>
      <w:numFmt w:val="decimal"/>
      <w:lvlText w:val="%1."/>
      <w:lvlJc w:val="left"/>
      <w:pPr>
        <w:ind w:left="1060" w:hanging="360"/>
        <w:jc w:val="left"/>
      </w:pPr>
      <w:rPr>
        <w:rFonts w:hint="default" w:ascii="Verdana" w:hAnsi="Verdana" w:eastAsia="Verdana" w:cs="Verdana"/>
        <w:spacing w:val="-11"/>
        <w:w w:val="100"/>
        <w:sz w:val="18"/>
        <w:szCs w:val="18"/>
        <w:lang w:val="en-au" w:eastAsia="en-au" w:bidi="en-au"/>
      </w:rPr>
    </w:lvl>
    <w:lvl w:ilvl="1">
      <w:start w:val="0"/>
      <w:numFmt w:val="bullet"/>
      <w:lvlText w:val="•"/>
      <w:lvlJc w:val="left"/>
      <w:pPr>
        <w:ind w:left="1998" w:hanging="360"/>
      </w:pPr>
      <w:rPr>
        <w:rFonts w:hint="default"/>
        <w:lang w:val="en-au" w:eastAsia="en-au" w:bidi="en-au"/>
      </w:rPr>
    </w:lvl>
    <w:lvl w:ilvl="2">
      <w:start w:val="0"/>
      <w:numFmt w:val="bullet"/>
      <w:lvlText w:val="•"/>
      <w:lvlJc w:val="left"/>
      <w:pPr>
        <w:ind w:left="2937" w:hanging="360"/>
      </w:pPr>
      <w:rPr>
        <w:rFonts w:hint="default"/>
        <w:lang w:val="en-au" w:eastAsia="en-au" w:bidi="en-au"/>
      </w:rPr>
    </w:lvl>
    <w:lvl w:ilvl="3">
      <w:start w:val="0"/>
      <w:numFmt w:val="bullet"/>
      <w:lvlText w:val="•"/>
      <w:lvlJc w:val="left"/>
      <w:pPr>
        <w:ind w:left="3875" w:hanging="360"/>
      </w:pPr>
      <w:rPr>
        <w:rFonts w:hint="default"/>
        <w:lang w:val="en-au" w:eastAsia="en-au" w:bidi="en-au"/>
      </w:rPr>
    </w:lvl>
    <w:lvl w:ilvl="4">
      <w:start w:val="0"/>
      <w:numFmt w:val="bullet"/>
      <w:lvlText w:val="•"/>
      <w:lvlJc w:val="left"/>
      <w:pPr>
        <w:ind w:left="4814" w:hanging="360"/>
      </w:pPr>
      <w:rPr>
        <w:rFonts w:hint="default"/>
        <w:lang w:val="en-au" w:eastAsia="en-au" w:bidi="en-au"/>
      </w:rPr>
    </w:lvl>
    <w:lvl w:ilvl="5">
      <w:start w:val="0"/>
      <w:numFmt w:val="bullet"/>
      <w:lvlText w:val="•"/>
      <w:lvlJc w:val="left"/>
      <w:pPr>
        <w:ind w:left="5753" w:hanging="360"/>
      </w:pPr>
      <w:rPr>
        <w:rFonts w:hint="default"/>
        <w:lang w:val="en-au" w:eastAsia="en-au" w:bidi="en-au"/>
      </w:rPr>
    </w:lvl>
    <w:lvl w:ilvl="6">
      <w:start w:val="0"/>
      <w:numFmt w:val="bullet"/>
      <w:lvlText w:val="•"/>
      <w:lvlJc w:val="left"/>
      <w:pPr>
        <w:ind w:left="6691" w:hanging="360"/>
      </w:pPr>
      <w:rPr>
        <w:rFonts w:hint="default"/>
        <w:lang w:val="en-au" w:eastAsia="en-au" w:bidi="en-au"/>
      </w:rPr>
    </w:lvl>
    <w:lvl w:ilvl="7">
      <w:start w:val="0"/>
      <w:numFmt w:val="bullet"/>
      <w:lvlText w:val="•"/>
      <w:lvlJc w:val="left"/>
      <w:pPr>
        <w:ind w:left="7630" w:hanging="360"/>
      </w:pPr>
      <w:rPr>
        <w:rFonts w:hint="default"/>
        <w:lang w:val="en-au" w:eastAsia="en-au" w:bidi="en-au"/>
      </w:rPr>
    </w:lvl>
    <w:lvl w:ilvl="8">
      <w:start w:val="0"/>
      <w:numFmt w:val="bullet"/>
      <w:lvlText w:val="•"/>
      <w:lvlJc w:val="left"/>
      <w:pPr>
        <w:ind w:left="8569" w:hanging="360"/>
      </w:pPr>
      <w:rPr>
        <w:rFonts w:hint="default"/>
        <w:lang w:val="en-au" w:eastAsia="en-au" w:bidi="en-au"/>
      </w:rPr>
    </w:lvl>
  </w:abstractNum>
  <w:abstractNum w:abstractNumId="2">
    <w:multiLevelType w:val="hybridMultilevel"/>
    <w:lvl w:ilvl="0">
      <w:start w:val="0"/>
      <w:numFmt w:val="bullet"/>
      <w:lvlText w:val=""/>
      <w:lvlJc w:val="left"/>
      <w:pPr>
        <w:ind w:left="1060" w:hanging="360"/>
      </w:pPr>
      <w:rPr>
        <w:rFonts w:hint="default" w:ascii="Symbol" w:hAnsi="Symbol" w:eastAsia="Symbol" w:cs="Symbol"/>
        <w:w w:val="100"/>
        <w:sz w:val="18"/>
        <w:szCs w:val="18"/>
        <w:lang w:val="en-au" w:eastAsia="en-au" w:bidi="en-au"/>
      </w:rPr>
    </w:lvl>
    <w:lvl w:ilvl="1">
      <w:start w:val="0"/>
      <w:numFmt w:val="bullet"/>
      <w:lvlText w:val="•"/>
      <w:lvlJc w:val="left"/>
      <w:pPr>
        <w:ind w:left="1998" w:hanging="360"/>
      </w:pPr>
      <w:rPr>
        <w:rFonts w:hint="default"/>
        <w:lang w:val="en-au" w:eastAsia="en-au" w:bidi="en-au"/>
      </w:rPr>
    </w:lvl>
    <w:lvl w:ilvl="2">
      <w:start w:val="0"/>
      <w:numFmt w:val="bullet"/>
      <w:lvlText w:val="•"/>
      <w:lvlJc w:val="left"/>
      <w:pPr>
        <w:ind w:left="2937" w:hanging="360"/>
      </w:pPr>
      <w:rPr>
        <w:rFonts w:hint="default"/>
        <w:lang w:val="en-au" w:eastAsia="en-au" w:bidi="en-au"/>
      </w:rPr>
    </w:lvl>
    <w:lvl w:ilvl="3">
      <w:start w:val="0"/>
      <w:numFmt w:val="bullet"/>
      <w:lvlText w:val="•"/>
      <w:lvlJc w:val="left"/>
      <w:pPr>
        <w:ind w:left="3875" w:hanging="360"/>
      </w:pPr>
      <w:rPr>
        <w:rFonts w:hint="default"/>
        <w:lang w:val="en-au" w:eastAsia="en-au" w:bidi="en-au"/>
      </w:rPr>
    </w:lvl>
    <w:lvl w:ilvl="4">
      <w:start w:val="0"/>
      <w:numFmt w:val="bullet"/>
      <w:lvlText w:val="•"/>
      <w:lvlJc w:val="left"/>
      <w:pPr>
        <w:ind w:left="4814" w:hanging="360"/>
      </w:pPr>
      <w:rPr>
        <w:rFonts w:hint="default"/>
        <w:lang w:val="en-au" w:eastAsia="en-au" w:bidi="en-au"/>
      </w:rPr>
    </w:lvl>
    <w:lvl w:ilvl="5">
      <w:start w:val="0"/>
      <w:numFmt w:val="bullet"/>
      <w:lvlText w:val="•"/>
      <w:lvlJc w:val="left"/>
      <w:pPr>
        <w:ind w:left="5753" w:hanging="360"/>
      </w:pPr>
      <w:rPr>
        <w:rFonts w:hint="default"/>
        <w:lang w:val="en-au" w:eastAsia="en-au" w:bidi="en-au"/>
      </w:rPr>
    </w:lvl>
    <w:lvl w:ilvl="6">
      <w:start w:val="0"/>
      <w:numFmt w:val="bullet"/>
      <w:lvlText w:val="•"/>
      <w:lvlJc w:val="left"/>
      <w:pPr>
        <w:ind w:left="6691" w:hanging="360"/>
      </w:pPr>
      <w:rPr>
        <w:rFonts w:hint="default"/>
        <w:lang w:val="en-au" w:eastAsia="en-au" w:bidi="en-au"/>
      </w:rPr>
    </w:lvl>
    <w:lvl w:ilvl="7">
      <w:start w:val="0"/>
      <w:numFmt w:val="bullet"/>
      <w:lvlText w:val="•"/>
      <w:lvlJc w:val="left"/>
      <w:pPr>
        <w:ind w:left="7630" w:hanging="360"/>
      </w:pPr>
      <w:rPr>
        <w:rFonts w:hint="default"/>
        <w:lang w:val="en-au" w:eastAsia="en-au" w:bidi="en-au"/>
      </w:rPr>
    </w:lvl>
    <w:lvl w:ilvl="8">
      <w:start w:val="0"/>
      <w:numFmt w:val="bullet"/>
      <w:lvlText w:val="•"/>
      <w:lvlJc w:val="left"/>
      <w:pPr>
        <w:ind w:left="8569" w:hanging="360"/>
      </w:pPr>
      <w:rPr>
        <w:rFonts w:hint="default"/>
        <w:lang w:val="en-au" w:eastAsia="en-au" w:bidi="en-au"/>
      </w:rPr>
    </w:lvl>
  </w:abstractNum>
  <w:abstractNum w:abstractNumId="1">
    <w:multiLevelType w:val="hybridMultilevel"/>
    <w:lvl w:ilvl="0">
      <w:start w:val="1"/>
      <w:numFmt w:val="decimal"/>
      <w:lvlText w:val="%1."/>
      <w:lvlJc w:val="left"/>
      <w:pPr>
        <w:ind w:left="1060" w:hanging="360"/>
        <w:jc w:val="left"/>
      </w:pPr>
      <w:rPr>
        <w:rFonts w:hint="default" w:ascii="Verdana" w:hAnsi="Verdana" w:eastAsia="Verdana" w:cs="Verdana"/>
        <w:spacing w:val="-11"/>
        <w:w w:val="100"/>
        <w:sz w:val="18"/>
        <w:szCs w:val="18"/>
        <w:lang w:val="en-au" w:eastAsia="en-au" w:bidi="en-au"/>
      </w:rPr>
    </w:lvl>
    <w:lvl w:ilvl="1">
      <w:start w:val="0"/>
      <w:numFmt w:val="bullet"/>
      <w:lvlText w:val="•"/>
      <w:lvlJc w:val="left"/>
      <w:pPr>
        <w:ind w:left="1998" w:hanging="360"/>
      </w:pPr>
      <w:rPr>
        <w:rFonts w:hint="default"/>
        <w:lang w:val="en-au" w:eastAsia="en-au" w:bidi="en-au"/>
      </w:rPr>
    </w:lvl>
    <w:lvl w:ilvl="2">
      <w:start w:val="0"/>
      <w:numFmt w:val="bullet"/>
      <w:lvlText w:val="•"/>
      <w:lvlJc w:val="left"/>
      <w:pPr>
        <w:ind w:left="2937" w:hanging="360"/>
      </w:pPr>
      <w:rPr>
        <w:rFonts w:hint="default"/>
        <w:lang w:val="en-au" w:eastAsia="en-au" w:bidi="en-au"/>
      </w:rPr>
    </w:lvl>
    <w:lvl w:ilvl="3">
      <w:start w:val="0"/>
      <w:numFmt w:val="bullet"/>
      <w:lvlText w:val="•"/>
      <w:lvlJc w:val="left"/>
      <w:pPr>
        <w:ind w:left="3875" w:hanging="360"/>
      </w:pPr>
      <w:rPr>
        <w:rFonts w:hint="default"/>
        <w:lang w:val="en-au" w:eastAsia="en-au" w:bidi="en-au"/>
      </w:rPr>
    </w:lvl>
    <w:lvl w:ilvl="4">
      <w:start w:val="0"/>
      <w:numFmt w:val="bullet"/>
      <w:lvlText w:val="•"/>
      <w:lvlJc w:val="left"/>
      <w:pPr>
        <w:ind w:left="4814" w:hanging="360"/>
      </w:pPr>
      <w:rPr>
        <w:rFonts w:hint="default"/>
        <w:lang w:val="en-au" w:eastAsia="en-au" w:bidi="en-au"/>
      </w:rPr>
    </w:lvl>
    <w:lvl w:ilvl="5">
      <w:start w:val="0"/>
      <w:numFmt w:val="bullet"/>
      <w:lvlText w:val="•"/>
      <w:lvlJc w:val="left"/>
      <w:pPr>
        <w:ind w:left="5753" w:hanging="360"/>
      </w:pPr>
      <w:rPr>
        <w:rFonts w:hint="default"/>
        <w:lang w:val="en-au" w:eastAsia="en-au" w:bidi="en-au"/>
      </w:rPr>
    </w:lvl>
    <w:lvl w:ilvl="6">
      <w:start w:val="0"/>
      <w:numFmt w:val="bullet"/>
      <w:lvlText w:val="•"/>
      <w:lvlJc w:val="left"/>
      <w:pPr>
        <w:ind w:left="6691" w:hanging="360"/>
      </w:pPr>
      <w:rPr>
        <w:rFonts w:hint="default"/>
        <w:lang w:val="en-au" w:eastAsia="en-au" w:bidi="en-au"/>
      </w:rPr>
    </w:lvl>
    <w:lvl w:ilvl="7">
      <w:start w:val="0"/>
      <w:numFmt w:val="bullet"/>
      <w:lvlText w:val="•"/>
      <w:lvlJc w:val="left"/>
      <w:pPr>
        <w:ind w:left="7630" w:hanging="360"/>
      </w:pPr>
      <w:rPr>
        <w:rFonts w:hint="default"/>
        <w:lang w:val="en-au" w:eastAsia="en-au" w:bidi="en-au"/>
      </w:rPr>
    </w:lvl>
    <w:lvl w:ilvl="8">
      <w:start w:val="0"/>
      <w:numFmt w:val="bullet"/>
      <w:lvlText w:val="•"/>
      <w:lvlJc w:val="left"/>
      <w:pPr>
        <w:ind w:left="8569" w:hanging="360"/>
      </w:pPr>
      <w:rPr>
        <w:rFonts w:hint="default"/>
        <w:lang w:val="en-au" w:eastAsia="en-au" w:bidi="en-au"/>
      </w:rPr>
    </w:lvl>
  </w:abstractNum>
  <w:abstractNum w:abstractNumId="0">
    <w:multiLevelType w:val="hybridMultilevel"/>
    <w:lvl w:ilvl="0">
      <w:start w:val="1"/>
      <w:numFmt w:val="decimal"/>
      <w:lvlText w:val="%1"/>
      <w:lvlJc w:val="left"/>
      <w:pPr>
        <w:ind w:left="1266" w:hanging="567"/>
        <w:jc w:val="left"/>
      </w:pPr>
      <w:rPr>
        <w:rFonts w:hint="default" w:ascii="Verdana" w:hAnsi="Verdana" w:eastAsia="Verdana" w:cs="Verdana"/>
        <w:spacing w:val="-1"/>
        <w:w w:val="100"/>
        <w:sz w:val="18"/>
        <w:szCs w:val="18"/>
        <w:lang w:val="en-au" w:eastAsia="en-au" w:bidi="en-au"/>
      </w:rPr>
    </w:lvl>
    <w:lvl w:ilvl="1">
      <w:start w:val="1"/>
      <w:numFmt w:val="decimal"/>
      <w:lvlText w:val="%1.%2"/>
      <w:lvlJc w:val="left"/>
      <w:pPr>
        <w:ind w:left="1833" w:hanging="567"/>
        <w:jc w:val="left"/>
      </w:pPr>
      <w:rPr>
        <w:rFonts w:hint="default" w:ascii="Verdana" w:hAnsi="Verdana" w:eastAsia="Verdana" w:cs="Verdana"/>
        <w:spacing w:val="-1"/>
        <w:w w:val="100"/>
        <w:sz w:val="18"/>
        <w:szCs w:val="18"/>
        <w:lang w:val="en-au" w:eastAsia="en-au" w:bidi="en-au"/>
      </w:rPr>
    </w:lvl>
    <w:lvl w:ilvl="2">
      <w:start w:val="1"/>
      <w:numFmt w:val="decimal"/>
      <w:lvlText w:val="%1.%2.%3"/>
      <w:lvlJc w:val="left"/>
      <w:pPr>
        <w:ind w:left="1960" w:hanging="694"/>
        <w:jc w:val="left"/>
      </w:pPr>
      <w:rPr>
        <w:rFonts w:hint="default" w:ascii="Verdana" w:hAnsi="Verdana" w:eastAsia="Verdana" w:cs="Verdana"/>
        <w:spacing w:val="-3"/>
        <w:w w:val="100"/>
        <w:sz w:val="18"/>
        <w:szCs w:val="18"/>
        <w:lang w:val="en-au" w:eastAsia="en-au" w:bidi="en-au"/>
      </w:rPr>
    </w:lvl>
    <w:lvl w:ilvl="3">
      <w:start w:val="0"/>
      <w:numFmt w:val="bullet"/>
      <w:lvlText w:val="•"/>
      <w:lvlJc w:val="left"/>
      <w:pPr>
        <w:ind w:left="3020" w:hanging="694"/>
      </w:pPr>
      <w:rPr>
        <w:rFonts w:hint="default"/>
        <w:lang w:val="en-au" w:eastAsia="en-au" w:bidi="en-au"/>
      </w:rPr>
    </w:lvl>
    <w:lvl w:ilvl="4">
      <w:start w:val="0"/>
      <w:numFmt w:val="bullet"/>
      <w:lvlText w:val="•"/>
      <w:lvlJc w:val="left"/>
      <w:pPr>
        <w:ind w:left="4081" w:hanging="694"/>
      </w:pPr>
      <w:rPr>
        <w:rFonts w:hint="default"/>
        <w:lang w:val="en-au" w:eastAsia="en-au" w:bidi="en-au"/>
      </w:rPr>
    </w:lvl>
    <w:lvl w:ilvl="5">
      <w:start w:val="0"/>
      <w:numFmt w:val="bullet"/>
      <w:lvlText w:val="•"/>
      <w:lvlJc w:val="left"/>
      <w:pPr>
        <w:ind w:left="5142" w:hanging="694"/>
      </w:pPr>
      <w:rPr>
        <w:rFonts w:hint="default"/>
        <w:lang w:val="en-au" w:eastAsia="en-au" w:bidi="en-au"/>
      </w:rPr>
    </w:lvl>
    <w:lvl w:ilvl="6">
      <w:start w:val="0"/>
      <w:numFmt w:val="bullet"/>
      <w:lvlText w:val="•"/>
      <w:lvlJc w:val="left"/>
      <w:pPr>
        <w:ind w:left="6203" w:hanging="694"/>
      </w:pPr>
      <w:rPr>
        <w:rFonts w:hint="default"/>
        <w:lang w:val="en-au" w:eastAsia="en-au" w:bidi="en-au"/>
      </w:rPr>
    </w:lvl>
    <w:lvl w:ilvl="7">
      <w:start w:val="0"/>
      <w:numFmt w:val="bullet"/>
      <w:lvlText w:val="•"/>
      <w:lvlJc w:val="left"/>
      <w:pPr>
        <w:ind w:left="7264" w:hanging="694"/>
      </w:pPr>
      <w:rPr>
        <w:rFonts w:hint="default"/>
        <w:lang w:val="en-au" w:eastAsia="en-au" w:bidi="en-au"/>
      </w:rPr>
    </w:lvl>
    <w:lvl w:ilvl="8">
      <w:start w:val="0"/>
      <w:numFmt w:val="bullet"/>
      <w:lvlText w:val="•"/>
      <w:lvlJc w:val="left"/>
      <w:pPr>
        <w:ind w:left="8324" w:hanging="694"/>
      </w:pPr>
      <w:rPr>
        <w:rFonts w:hint="default"/>
        <w:lang w:val="en-au" w:eastAsia="en-au" w:bidi="en-au"/>
      </w:rPr>
    </w:lvl>
  </w:abstract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2">
    <w:abstractNumId w:val="11"/>
  </w:num>
  <w:num w:numId="15">
    <w:abstractNumId w:val="14"/>
  </w:num>
  <w:num w:numId="14">
    <w:abstractNumId w:val="13"/>
  </w:num>
  <w:num w:numId="13">
    <w:abstractNumId w:val="12"/>
  </w:num>
  <w:num w:numId="16">
    <w:abstractNumId w:val="15"/>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au" w:eastAsia="en-au" w:bidi="en-au"/>
    </w:rPr>
  </w:style>
  <w:style w:styleId="TOC1" w:type="paragraph">
    <w:name w:val="TOC 1"/>
    <w:basedOn w:val="Normal"/>
    <w:uiPriority w:val="1"/>
    <w:qFormat/>
    <w:pPr>
      <w:spacing w:before="201"/>
      <w:ind w:left="1266" w:hanging="567"/>
    </w:pPr>
    <w:rPr>
      <w:rFonts w:ascii="Verdana" w:hAnsi="Verdana" w:eastAsia="Verdana" w:cs="Verdana"/>
      <w:sz w:val="18"/>
      <w:szCs w:val="18"/>
      <w:lang w:val="en-au" w:eastAsia="en-au" w:bidi="en-au"/>
    </w:rPr>
  </w:style>
  <w:style w:styleId="TOC2" w:type="paragraph">
    <w:name w:val="TOC 2"/>
    <w:basedOn w:val="Normal"/>
    <w:uiPriority w:val="1"/>
    <w:qFormat/>
    <w:pPr>
      <w:spacing w:before="199"/>
      <w:ind w:left="1266" w:hanging="567"/>
    </w:pPr>
    <w:rPr>
      <w:rFonts w:ascii="Verdana" w:hAnsi="Verdana" w:eastAsia="Verdana" w:cs="Verdana"/>
      <w:b/>
      <w:bCs/>
      <w:i/>
      <w:lang w:val="en-au" w:eastAsia="en-au" w:bidi="en-au"/>
    </w:rPr>
  </w:style>
  <w:style w:styleId="TOC3" w:type="paragraph">
    <w:name w:val="TOC 3"/>
    <w:basedOn w:val="Normal"/>
    <w:uiPriority w:val="1"/>
    <w:qFormat/>
    <w:pPr>
      <w:spacing w:before="221"/>
      <w:ind w:left="700"/>
    </w:pPr>
    <w:rPr>
      <w:rFonts w:ascii="Verdana" w:hAnsi="Verdana" w:eastAsia="Verdana" w:cs="Verdana"/>
      <w:sz w:val="18"/>
      <w:szCs w:val="18"/>
      <w:lang w:val="en-au" w:eastAsia="en-au" w:bidi="en-au"/>
    </w:rPr>
  </w:style>
  <w:style w:styleId="TOC4" w:type="paragraph">
    <w:name w:val="TOC 4"/>
    <w:basedOn w:val="Normal"/>
    <w:uiPriority w:val="1"/>
    <w:qFormat/>
    <w:pPr>
      <w:spacing w:before="21"/>
      <w:ind w:left="1960" w:hanging="695"/>
    </w:pPr>
    <w:rPr>
      <w:rFonts w:ascii="Verdana" w:hAnsi="Verdana" w:eastAsia="Verdana" w:cs="Verdana"/>
      <w:sz w:val="18"/>
      <w:szCs w:val="18"/>
      <w:lang w:val="en-au" w:eastAsia="en-au" w:bidi="en-au"/>
    </w:rPr>
  </w:style>
  <w:style w:styleId="TOC5" w:type="paragraph">
    <w:name w:val="TOC 5"/>
    <w:basedOn w:val="Normal"/>
    <w:uiPriority w:val="1"/>
    <w:qFormat/>
    <w:pPr>
      <w:spacing w:before="142"/>
      <w:ind w:left="1833" w:hanging="568"/>
    </w:pPr>
    <w:rPr>
      <w:rFonts w:ascii="Verdana" w:hAnsi="Verdana" w:eastAsia="Verdana" w:cs="Verdana"/>
      <w:i/>
      <w:sz w:val="18"/>
      <w:szCs w:val="18"/>
      <w:lang w:val="en-au" w:eastAsia="en-au" w:bidi="en-au"/>
    </w:rPr>
  </w:style>
  <w:style w:styleId="TOC6" w:type="paragraph">
    <w:name w:val="TOC 6"/>
    <w:basedOn w:val="Normal"/>
    <w:uiPriority w:val="1"/>
    <w:qFormat/>
    <w:pPr>
      <w:spacing w:before="21"/>
      <w:ind w:left="1266"/>
    </w:pPr>
    <w:rPr>
      <w:rFonts w:ascii="Verdana" w:hAnsi="Verdana" w:eastAsia="Verdana" w:cs="Verdana"/>
      <w:b/>
      <w:bCs/>
      <w:i/>
      <w:lang w:val="en-au" w:eastAsia="en-au" w:bidi="en-au"/>
    </w:rPr>
  </w:style>
  <w:style w:styleId="TOC7" w:type="paragraph">
    <w:name w:val="TOC 7"/>
    <w:basedOn w:val="Normal"/>
    <w:uiPriority w:val="1"/>
    <w:qFormat/>
    <w:pPr>
      <w:spacing w:before="216"/>
      <w:ind w:left="1943"/>
    </w:pPr>
    <w:rPr>
      <w:rFonts w:ascii="Verdana" w:hAnsi="Verdana" w:eastAsia="Verdana" w:cs="Verdana"/>
      <w:sz w:val="18"/>
      <w:szCs w:val="18"/>
      <w:lang w:val="en-au" w:eastAsia="en-au" w:bidi="en-au"/>
    </w:rPr>
  </w:style>
  <w:style w:styleId="BodyText" w:type="paragraph">
    <w:name w:val="Body Text"/>
    <w:basedOn w:val="Normal"/>
    <w:uiPriority w:val="1"/>
    <w:qFormat/>
    <w:pPr/>
    <w:rPr>
      <w:rFonts w:ascii="Verdana" w:hAnsi="Verdana" w:eastAsia="Verdana" w:cs="Verdana"/>
      <w:sz w:val="18"/>
      <w:szCs w:val="18"/>
      <w:lang w:val="en-au" w:eastAsia="en-au" w:bidi="en-au"/>
    </w:rPr>
  </w:style>
  <w:style w:styleId="Heading1" w:type="paragraph">
    <w:name w:val="Heading 1"/>
    <w:basedOn w:val="Normal"/>
    <w:uiPriority w:val="1"/>
    <w:qFormat/>
    <w:pPr>
      <w:spacing w:before="101"/>
      <w:ind w:left="700"/>
      <w:outlineLvl w:val="1"/>
    </w:pPr>
    <w:rPr>
      <w:rFonts w:ascii="Verdana" w:hAnsi="Verdana" w:eastAsia="Verdana" w:cs="Verdana"/>
      <w:sz w:val="60"/>
      <w:szCs w:val="60"/>
      <w:lang w:val="en-au" w:eastAsia="en-au" w:bidi="en-au"/>
    </w:rPr>
  </w:style>
  <w:style w:styleId="Heading2" w:type="paragraph">
    <w:name w:val="Heading 2"/>
    <w:basedOn w:val="Normal"/>
    <w:uiPriority w:val="1"/>
    <w:qFormat/>
    <w:pPr>
      <w:ind w:left="1094" w:hanging="795"/>
      <w:outlineLvl w:val="2"/>
    </w:pPr>
    <w:rPr>
      <w:rFonts w:ascii="Verdana" w:hAnsi="Verdana" w:eastAsia="Verdana" w:cs="Verdana"/>
      <w:b/>
      <w:bCs/>
      <w:sz w:val="22"/>
      <w:szCs w:val="22"/>
      <w:lang w:val="en-au" w:eastAsia="en-au" w:bidi="en-au"/>
    </w:rPr>
  </w:style>
  <w:style w:styleId="Heading3" w:type="paragraph">
    <w:name w:val="Heading 3"/>
    <w:basedOn w:val="Normal"/>
    <w:uiPriority w:val="1"/>
    <w:qFormat/>
    <w:pPr>
      <w:ind w:left="1094" w:hanging="795"/>
      <w:outlineLvl w:val="3"/>
    </w:pPr>
    <w:rPr>
      <w:rFonts w:ascii="Verdana" w:hAnsi="Verdana" w:eastAsia="Verdana" w:cs="Verdana"/>
      <w:b/>
      <w:bCs/>
      <w:i/>
      <w:sz w:val="22"/>
      <w:szCs w:val="22"/>
      <w:lang w:val="en-au" w:eastAsia="en-au" w:bidi="en-au"/>
    </w:rPr>
  </w:style>
  <w:style w:styleId="Heading4" w:type="paragraph">
    <w:name w:val="Heading 4"/>
    <w:basedOn w:val="Normal"/>
    <w:uiPriority w:val="1"/>
    <w:qFormat/>
    <w:pPr>
      <w:ind w:left="300"/>
      <w:outlineLvl w:val="4"/>
    </w:pPr>
    <w:rPr>
      <w:rFonts w:ascii="Verdana" w:hAnsi="Verdana" w:eastAsia="Verdana" w:cs="Verdana"/>
      <w:b/>
      <w:bCs/>
      <w:sz w:val="18"/>
      <w:szCs w:val="18"/>
      <w:lang w:val="en-au" w:eastAsia="en-au" w:bidi="en-au"/>
    </w:rPr>
  </w:style>
  <w:style w:styleId="ListParagraph" w:type="paragraph">
    <w:name w:val="List Paragraph"/>
    <w:basedOn w:val="Normal"/>
    <w:uiPriority w:val="1"/>
    <w:qFormat/>
    <w:pPr>
      <w:ind w:left="660" w:hanging="360"/>
    </w:pPr>
    <w:rPr>
      <w:rFonts w:ascii="Verdana" w:hAnsi="Verdana" w:eastAsia="Verdana" w:cs="Verdana"/>
      <w:lang w:val="en-au" w:eastAsia="en-au" w:bidi="en-au"/>
    </w:rPr>
  </w:style>
  <w:style w:styleId="TableParagraph" w:type="paragraph">
    <w:name w:val="Table Paragraph"/>
    <w:basedOn w:val="Normal"/>
    <w:uiPriority w:val="1"/>
    <w:qFormat/>
    <w:pPr/>
    <w:rPr>
      <w:rFonts w:ascii="Verdana" w:hAnsi="Verdana" w:eastAsia="Verdana" w:cs="Verdana"/>
      <w:lang w:val="en-au" w:eastAsia="en-au" w:bidi="en-au"/>
    </w:rPr>
  </w:style>
</w:styles>
</file>

<file path=word/_rels/document.xml.rels><?xml version="1.0" encoding="UTF-8" standalone="yes"?>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00" Target="media/image64.png" Type="http://schemas.openxmlformats.org/officeDocument/2006/relationships/image"/>
<Relationship Id="rId101" Target="header12.xml" Type="http://schemas.openxmlformats.org/officeDocument/2006/relationships/header"/>
<Relationship Id="rId102" Target="footer11.xml" Type="http://schemas.openxmlformats.org/officeDocument/2006/relationships/footer"/>
<Relationship Id="rId103" Target="media/image65.png" Type="http://schemas.openxmlformats.org/officeDocument/2006/relationships/image"/>
<Relationship Id="rId104" Target="http://www.deloitte.com/au/deloitte-access-economics" TargetMode="External" Type="http://schemas.openxmlformats.org/officeDocument/2006/relationships/hyperlink"/>
<Relationship Id="rId105" Target="http://www.deloitte.com/about" TargetMode="External" Type="http://schemas.openxmlformats.org/officeDocument/2006/relationships/hyperlink"/>
<Relationship Id="rId106" Target="numbering.xml" Type="http://schemas.openxmlformats.org/officeDocument/2006/relationships/numbering"/>
<Relationship Id="rId11" Target="media/image6.png" Type="http://schemas.openxmlformats.org/officeDocument/2006/relationships/image"/>
<Relationship Id="rId12" Target="media/image7.png" Type="http://schemas.openxmlformats.org/officeDocument/2006/relationships/image"/>
<Relationship Id="rId13" Target="media/image8.png" Type="http://schemas.openxmlformats.org/officeDocument/2006/relationships/image"/>
<Relationship Id="rId14" Target="media/image9.png" Type="http://schemas.openxmlformats.org/officeDocument/2006/relationships/image"/>
<Relationship Id="rId15" Target="media/image10.png" Type="http://schemas.openxmlformats.org/officeDocument/2006/relationships/image"/>
<Relationship Id="rId16" Target="media/image11.png" Type="http://schemas.openxmlformats.org/officeDocument/2006/relationships/image"/>
<Relationship Id="rId17" Target="media/image12.png" Type="http://schemas.openxmlformats.org/officeDocument/2006/relationships/image"/>
<Relationship Id="rId18" Target="media/image13.png" Type="http://schemas.openxmlformats.org/officeDocument/2006/relationships/image"/>
<Relationship Id="rId19" Target="media/image14.png" Type="http://schemas.openxmlformats.org/officeDocument/2006/relationships/image"/>
<Relationship Id="rId2" Target="fontTable.xml" Type="http://schemas.openxmlformats.org/officeDocument/2006/relationships/fontTable"/>
<Relationship Id="rId20" Target="media/image15.png" Type="http://schemas.openxmlformats.org/officeDocument/2006/relationships/image"/>
<Relationship Id="rId21" Target="media/image16.png" Type="http://schemas.openxmlformats.org/officeDocument/2006/relationships/image"/>
<Relationship Id="rId22" Target="header2.xml" Type="http://schemas.openxmlformats.org/officeDocument/2006/relationships/header"/>
<Relationship Id="rId23" Target="footer1.xml" Type="http://schemas.openxmlformats.org/officeDocument/2006/relationships/footer"/>
<Relationship Id="rId24" Target="media/image17.png" Type="http://schemas.openxmlformats.org/officeDocument/2006/relationships/image"/>
<Relationship Id="rId25" Target="media/image18.png" Type="http://schemas.openxmlformats.org/officeDocument/2006/relationships/image"/>
<Relationship Id="rId26" Target="media/image19.png" Type="http://schemas.openxmlformats.org/officeDocument/2006/relationships/image"/>
<Relationship Id="rId27" Target="media/image20.png" Type="http://schemas.openxmlformats.org/officeDocument/2006/relationships/image"/>
<Relationship Id="rId28" Target="header3.xml" Type="http://schemas.openxmlformats.org/officeDocument/2006/relationships/header"/>
<Relationship Id="rId29" Target="footer2.xml" Type="http://schemas.openxmlformats.org/officeDocument/2006/relationships/footer"/>
<Relationship Id="rId3" Target="theme/theme1.xml" Type="http://schemas.openxmlformats.org/officeDocument/2006/relationships/theme"/>
<Relationship Id="rId30" Target="media/image21.jpeg" Type="http://schemas.openxmlformats.org/officeDocument/2006/relationships/image"/>
<Relationship Id="rId31" Target="header4.xml" Type="http://schemas.openxmlformats.org/officeDocument/2006/relationships/header"/>
<Relationship Id="rId32" Target="footer3.xml" Type="http://schemas.openxmlformats.org/officeDocument/2006/relationships/footer"/>
<Relationship Id="rId33" Target="https://www.cyjma.qld.gov.au/resources/campaign/supporting-families/our-way.pdf?msclkid=d720f8a8c5d011ec803acc5904ffd036" TargetMode="External" Type="http://schemas.openxmlformats.org/officeDocument/2006/relationships/hyperlink"/>
<Relationship Id="rId34" Target="https://www.familymatters.org.au/wp-content/uploads/2016/11/TheFamilyMattersRoadmap.pdf" TargetMode="External" Type="http://schemas.openxmlformats.org/officeDocument/2006/relationships/hyperlink"/>
<Relationship Id="rId35" Target="media/image22.png" Type="http://schemas.openxmlformats.org/officeDocument/2006/relationships/image"/>
<Relationship Id="rId36" Target="https://www.qld.gov.au/about/newsroom/supporting-families-changing-futures-2019-2023#%3A~%3Atext%3DSupporting%20Families%20Changing%20Futures%202019-2023%20is%20a%20whole-of-government%2Cfor%20children%2C%20young%20people%2C%20and%20families%20experiencing%20vulnerability" TargetMode="External" Type="http://schemas.openxmlformats.org/officeDocument/2006/relationships/hyperlink"/>
<Relationship Id="rId37" Target="media/image23.png" Type="http://schemas.openxmlformats.org/officeDocument/2006/relationships/image"/>
<Relationship Id="rId38" Target="media/image24.png" Type="http://schemas.openxmlformats.org/officeDocument/2006/relationships/image"/>
<Relationship Id="rId39" Target="media/image25.png" Type="http://schemas.openxmlformats.org/officeDocument/2006/relationships/image"/>
<Relationship Id="rId4" Target="settings.xml" Type="http://schemas.openxmlformats.org/officeDocument/2006/relationships/settings"/>
<Relationship Id="rId40" Target="media/image26.png" Type="http://schemas.openxmlformats.org/officeDocument/2006/relationships/image"/>
<Relationship Id="rId41" Target="media/image27.png" Type="http://schemas.openxmlformats.org/officeDocument/2006/relationships/image"/>
<Relationship Id="rId42" Target="media/image28.png" Type="http://schemas.openxmlformats.org/officeDocument/2006/relationships/image"/>
<Relationship Id="rId43" Target="media/image29.jpeg" Type="http://schemas.openxmlformats.org/officeDocument/2006/relationships/image"/>
<Relationship Id="rId44" Target="media/image30.jpeg" Type="http://schemas.openxmlformats.org/officeDocument/2006/relationships/image"/>
<Relationship Id="rId45" Target="media/image31.jpeg" Type="http://schemas.openxmlformats.org/officeDocument/2006/relationships/image"/>
<Relationship Id="rId46" Target="media/image32.jpeg" Type="http://schemas.openxmlformats.org/officeDocument/2006/relationships/image"/>
<Relationship Id="rId47" Target="https://eds.s.ebscohost.com/eds/detail/detail?vid=4&amp;sid=54ac0fea-b389-43c5-9d62-1563ceef138a%40redis&amp;bdata=JnNpdGU9ZWRzLWxpdmUmc2NvcGU9c2l0ZQ%3d%3d%23AN%3Ddeakin.b1972118&amp;db=cat00097a" TargetMode="External" Type="http://schemas.openxmlformats.org/officeDocument/2006/relationships/hyperlink"/>
<Relationship Id="rId48" Target="https://eds.s.ebscohost.com/eds/detail/detail?vid=0&amp;sid=b62ab508-3a27-4bdc-b608-26e39b124417%40redis&amp;bdata=JnNpdGU9ZWRzLWxpdmUmc2NvcGU9c2l0ZQ%3d%3d%23AN%3Dedsihc.299158058366987&amp;db=edsihc" TargetMode="External" Type="http://schemas.openxmlformats.org/officeDocument/2006/relationships/hyperlink"/>
<Relationship Id="rId49" Target="header5.xml" Type="http://schemas.openxmlformats.org/officeDocument/2006/relationships/header"/>
<Relationship Id="rId5" Target="header1.xml" Type="http://schemas.openxmlformats.org/officeDocument/2006/relationships/header"/>
<Relationship Id="rId50" Target="footer4.xml" Type="http://schemas.openxmlformats.org/officeDocument/2006/relationships/footer"/>
<Relationship Id="rId51" Target="media/image33.png" Type="http://schemas.openxmlformats.org/officeDocument/2006/relationships/image"/>
<Relationship Id="rId52" Target="media/image34.png" Type="http://schemas.openxmlformats.org/officeDocument/2006/relationships/image"/>
<Relationship Id="rId53" Target="media/image35.jpeg" Type="http://schemas.openxmlformats.org/officeDocument/2006/relationships/image"/>
<Relationship Id="rId54" Target="media/image36.png" Type="http://schemas.openxmlformats.org/officeDocument/2006/relationships/image"/>
<Relationship Id="rId55" Target="header6.xml" Type="http://schemas.openxmlformats.org/officeDocument/2006/relationships/header"/>
<Relationship Id="rId56" Target="footer5.xml" Type="http://schemas.openxmlformats.org/officeDocument/2006/relationships/footer"/>
<Relationship Id="rId57" Target="http://www.cyjma.qld.gov.au/campaign/supporting-families/background/strategy-action-plan-aboriginal-torres-strait-islander-children-families" TargetMode="External" Type="http://schemas.openxmlformats.org/officeDocument/2006/relationships/hyperlink"/>
<Relationship Id="rId58" Target="media/image37.png" Type="http://schemas.openxmlformats.org/officeDocument/2006/relationships/image"/>
<Relationship Id="rId59" Target="http://www.childprotectioninquiry.qld.gov.au/__data/assets/pdf_file/0017/202625/qcpci-final-report-web-version.pdf" TargetMode="External" Type="http://schemas.openxmlformats.org/officeDocument/2006/relationships/hyperlink"/>
<Relationship Id="rId6" Target="media/image1.png" Type="http://schemas.openxmlformats.org/officeDocument/2006/relationships/image"/>
<Relationship Id="rId60" Target="https://www.closingthegap.gov.au/" TargetMode="External" Type="http://schemas.openxmlformats.org/officeDocument/2006/relationships/hyperlink"/>
<Relationship Id="rId61" Target="https://www.cyjma.qld.gov.au/resources/campaign/supporting-families/our-way.pdf" TargetMode="External" Type="http://schemas.openxmlformats.org/officeDocument/2006/relationships/hyperlink"/>
<Relationship Id="rId62" Target="media/image38.png" Type="http://schemas.openxmlformats.org/officeDocument/2006/relationships/image"/>
<Relationship Id="rId63" Target="media/image39.png" Type="http://schemas.openxmlformats.org/officeDocument/2006/relationships/image"/>
<Relationship Id="rId64" Target="media/image40.png" Type="http://schemas.openxmlformats.org/officeDocument/2006/relationships/image"/>
<Relationship Id="rId65" Target="media/image41.png" Type="http://schemas.openxmlformats.org/officeDocument/2006/relationships/image"/>
<Relationship Id="rId66" Target="media/image42.png" Type="http://schemas.openxmlformats.org/officeDocument/2006/relationships/image"/>
<Relationship Id="rId67" Target="media/image43.png" Type="http://schemas.openxmlformats.org/officeDocument/2006/relationships/image"/>
<Relationship Id="rId68" Target="media/image44.png" Type="http://schemas.openxmlformats.org/officeDocument/2006/relationships/image"/>
<Relationship Id="rId69" Target="media/image45.png" Type="http://schemas.openxmlformats.org/officeDocument/2006/relationships/image"/>
<Relationship Id="rId7" Target="media/image2.jpeg" Type="http://schemas.openxmlformats.org/officeDocument/2006/relationships/image"/>
<Relationship Id="rId70" Target="media/image46.png" Type="http://schemas.openxmlformats.org/officeDocument/2006/relationships/image"/>
<Relationship Id="rId71" Target="media/image47.png" Type="http://schemas.openxmlformats.org/officeDocument/2006/relationships/image"/>
<Relationship Id="rId72" Target="media/image48.png" Type="http://schemas.openxmlformats.org/officeDocument/2006/relationships/image"/>
<Relationship Id="rId73" Target="media/image49.jpeg" Type="http://schemas.openxmlformats.org/officeDocument/2006/relationships/image"/>
<Relationship Id="rId74" Target="media/image50.png" Type="http://schemas.openxmlformats.org/officeDocument/2006/relationships/image"/>
<Relationship Id="rId75" Target="media/image51.jpeg" Type="http://schemas.openxmlformats.org/officeDocument/2006/relationships/image"/>
<Relationship Id="rId76" Target="header7.xml" Type="http://schemas.openxmlformats.org/officeDocument/2006/relationships/header"/>
<Relationship Id="rId77" Target="footer6.xml" Type="http://schemas.openxmlformats.org/officeDocument/2006/relationships/footer"/>
<Relationship Id="rId78" Target="media/image52.png" Type="http://schemas.openxmlformats.org/officeDocument/2006/relationships/image"/>
<Relationship Id="rId79" Target="header8.xml" Type="http://schemas.openxmlformats.org/officeDocument/2006/relationships/header"/>
<Relationship Id="rId8" Target="media/image3.png" Type="http://schemas.openxmlformats.org/officeDocument/2006/relationships/image"/>
<Relationship Id="rId80" Target="footer7.xml" Type="http://schemas.openxmlformats.org/officeDocument/2006/relationships/footer"/>
<Relationship Id="rId81" Target="media/image53.png" Type="http://schemas.openxmlformats.org/officeDocument/2006/relationships/image"/>
<Relationship Id="rId82" Target="media/image54.png" Type="http://schemas.openxmlformats.org/officeDocument/2006/relationships/image"/>
<Relationship Id="rId83" Target="header9.xml" Type="http://schemas.openxmlformats.org/officeDocument/2006/relationships/header"/>
<Relationship Id="rId84" Target="footer8.xml" Type="http://schemas.openxmlformats.org/officeDocument/2006/relationships/footer"/>
<Relationship Id="rId85" Target="media/image55.png" Type="http://schemas.openxmlformats.org/officeDocument/2006/relationships/image"/>
<Relationship Id="rId86" Target="header10.xml" Type="http://schemas.openxmlformats.org/officeDocument/2006/relationships/header"/>
<Relationship Id="rId87" Target="footer9.xml" Type="http://schemas.openxmlformats.org/officeDocument/2006/relationships/footer"/>
<Relationship Id="rId88" Target="media/image56.png" Type="http://schemas.openxmlformats.org/officeDocument/2006/relationships/image"/>
<Relationship Id="rId89" Target="media/image57.png" Type="http://schemas.openxmlformats.org/officeDocument/2006/relationships/image"/>
<Relationship Id="rId9" Target="media/image4.png" Type="http://schemas.openxmlformats.org/officeDocument/2006/relationships/image"/>
<Relationship Id="rId90" Target="media/image58.png" Type="http://schemas.openxmlformats.org/officeDocument/2006/relationships/image"/>
<Relationship Id="rId91" Target="media/image59.png" Type="http://schemas.openxmlformats.org/officeDocument/2006/relationships/image"/>
<Relationship Id="rId92" Target="media/image60.png" Type="http://schemas.openxmlformats.org/officeDocument/2006/relationships/image"/>
<Relationship Id="rId93" Target="media/image61.png" Type="http://schemas.openxmlformats.org/officeDocument/2006/relationships/image"/>
<Relationship Id="rId94" Target="media/image62.png" Type="http://schemas.openxmlformats.org/officeDocument/2006/relationships/image"/>
<Relationship Id="rId95" Target="media/image63.png" Type="http://schemas.openxmlformats.org/officeDocument/2006/relationships/image"/>
<Relationship Id="rId96" Target="https://www.cyjma.qld.gov.au/resources/campaign/supporting-families/changing-tracks.pdf" TargetMode="External" Type="http://schemas.openxmlformats.org/officeDocument/2006/relationships/hyperlink"/>
<Relationship Id="rId97" Target="https://www.cyjma.qld.gov.au/resources/campaign/supporting-families/changing-tracks-action-plan.pdf" TargetMode="External" Type="http://schemas.openxmlformats.org/officeDocument/2006/relationships/hyperlink"/>
<Relationship Id="rId98" Target="header11.xml" Type="http://schemas.openxmlformats.org/officeDocument/2006/relationships/header"/>
<Relationship Id="rId99" Target="footer10.xml" Type="http://schemas.openxmlformats.org/officeDocument/2006/relationships/footer"/>
</Relationships>

</file>

<file path=word/_rels/footer1.xml.rels><?xml version="1.0" encoding="UTF-8" standalone="yes"?>
<Relationships xmlns="http://schemas.openxmlformats.org/package/2006/relationships">
<Relationship Id="rId1" Target="http://www.deloitte.com/au/deloitte-access-economics" TargetMode="External" Type="http://schemas.openxmlformats.org/officeDocument/2006/relationships/hyperlink"/>
<Relationship Id="rId2" Target="http://www.deloitte.com/about"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2022-11-17T05:07:49Z</dcterms:created>
  <dc:creator>Deloitte Access Economics</dc:creator>
  <cp:keywords>Our way; changing tracks; evaluation report</cp:keywords>
  <dcterms:modified xsi:type="dcterms:W3CDTF">2022-11-17T05:07:49Z</dcterms:modified>
  <dc:subject>Our Way Changing Tracks</dc:subject>
  <dc:title>Our Way Changing Tracks - Final report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2022-11-17T00:00:00Z</vt:filetime>
  </property>
  <property fmtid="{D5CDD505-2E9C-101B-9397-08002B2CF9AE}" pid="3" name="Creator">
    <vt:lpwstr>Microsoft® Word for Microsoft 365</vt:lpwstr>
  </property>
  <property fmtid="{D5CDD505-2E9C-101B-9397-08002B2CF9AE}" pid="4" name="LastSaved">
    <vt:filetime>2022-11-17T00:00:00Z</vt:filetime>
  </property>
</Properties>
</file>